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58FE7D54" w:rsidR="001B7CA2" w:rsidRPr="0002213A" w:rsidRDefault="00073B7C" w:rsidP="00B669A0">
      <w:pPr>
        <w:pBdr>
          <w:bottom w:val="single" w:sz="4" w:space="1" w:color="auto"/>
        </w:pBdr>
        <w:rPr>
          <w:b/>
          <w:bCs/>
          <w:lang w:val="en-GB"/>
        </w:rPr>
      </w:pPr>
      <w:r>
        <w:rPr>
          <w:b/>
          <w:lang w:val="en-AU"/>
        </w:rPr>
        <w:t>FRANCE</w:t>
      </w:r>
      <w:r w:rsidR="00BB7A69">
        <w:rPr>
          <w:b/>
          <w:lang w:val="en-AU"/>
        </w:rPr>
        <w:t xml:space="preserve"> </w:t>
      </w:r>
      <w:r w:rsidR="00B669A0" w:rsidRPr="0002213A">
        <w:rPr>
          <w:b/>
          <w:bCs/>
          <w:lang w:val="en-AU"/>
        </w:rPr>
        <w:t>REVIEW</w:t>
      </w:r>
    </w:p>
    <w:p w14:paraId="4B1E6910" w14:textId="2F1D5358" w:rsidR="003F31AB" w:rsidRPr="00CD6BD3" w:rsidRDefault="00A31B59" w:rsidP="00CD6BD3">
      <w:pPr>
        <w:widowControl w:val="0"/>
        <w:tabs>
          <w:tab w:val="left" w:pos="1216"/>
        </w:tabs>
        <w:autoSpaceDE w:val="0"/>
        <w:autoSpaceDN w:val="0"/>
        <w:spacing w:after="0" w:line="240" w:lineRule="auto"/>
        <w:rPr>
          <w:b/>
          <w:lang w:val="en-US"/>
        </w:rPr>
      </w:pPr>
      <w:r w:rsidRPr="00A31B59">
        <w:rPr>
          <w:b/>
          <w:lang w:val="en-US"/>
        </w:rPr>
        <w:t>I.</w:t>
      </w:r>
      <w:r>
        <w:rPr>
          <w:b/>
          <w:lang w:val="en-US"/>
        </w:rPr>
        <w:t xml:space="preserve"> </w:t>
      </w:r>
      <w:r w:rsidR="003F31AB" w:rsidRPr="00A31B59">
        <w:rPr>
          <w:b/>
          <w:lang w:val="en-US"/>
        </w:rPr>
        <w:t>Justice System</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53D5EBED"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2CC1FF68" w14:textId="0C07B7E6" w:rsidR="00D21DA1" w:rsidRDefault="00216D14" w:rsidP="00F70D66">
      <w:pPr>
        <w:jc w:val="both"/>
        <w:rPr>
          <w:rStyle w:val="sessionsubtitle"/>
          <w:lang w:val="en-US"/>
        </w:rPr>
      </w:pPr>
      <w:r>
        <w:rPr>
          <w:rFonts w:cstheme="minorHAnsi"/>
          <w:lang w:val="en-US"/>
        </w:rPr>
        <w:t xml:space="preserve">In its </w:t>
      </w:r>
      <w:r w:rsidR="00EC205C">
        <w:rPr>
          <w:rFonts w:cstheme="minorHAnsi"/>
          <w:lang w:val="en-US"/>
        </w:rPr>
        <w:t>c</w:t>
      </w:r>
      <w:r>
        <w:rPr>
          <w:rFonts w:cstheme="minorHAnsi"/>
          <w:lang w:val="en-US"/>
        </w:rPr>
        <w:t xml:space="preserve">oncluding </w:t>
      </w:r>
      <w:r w:rsidR="00EC205C">
        <w:rPr>
          <w:rFonts w:cstheme="minorHAnsi"/>
          <w:lang w:val="en-US"/>
        </w:rPr>
        <w:t>o</w:t>
      </w:r>
      <w:r>
        <w:rPr>
          <w:rFonts w:cstheme="minorHAnsi"/>
          <w:lang w:val="en-US"/>
        </w:rPr>
        <w:t>bservation</w:t>
      </w:r>
      <w:r w:rsidR="007C7FC0">
        <w:rPr>
          <w:rFonts w:cstheme="minorHAnsi"/>
          <w:lang w:val="en-US"/>
        </w:rPr>
        <w:t>s</w:t>
      </w:r>
      <w:r w:rsidR="00D21DA1" w:rsidRPr="00D21DA1">
        <w:rPr>
          <w:rFonts w:cstheme="minorHAnsi"/>
          <w:lang w:val="en-US"/>
        </w:rPr>
        <w:t xml:space="preserve"> </w:t>
      </w:r>
      <w:r w:rsidR="000B5316">
        <w:rPr>
          <w:rFonts w:cstheme="minorHAnsi"/>
          <w:lang w:val="en-US"/>
        </w:rPr>
        <w:t>of</w:t>
      </w:r>
      <w:r w:rsidR="00D21DA1" w:rsidRPr="00D21DA1">
        <w:rPr>
          <w:rStyle w:val="sessionsubtitle"/>
          <w:rFonts w:cstheme="minorHAnsi"/>
          <w:lang w:val="en-US"/>
        </w:rPr>
        <w:t xml:space="preserve"> October 2021, the Committee on the Rights of Persons with Disabilities noted with concern</w:t>
      </w:r>
      <w:r w:rsidR="00D21DA1" w:rsidRPr="00D21DA1">
        <w:rPr>
          <w:rStyle w:val="markedcontent"/>
          <w:rFonts w:cstheme="minorHAnsi"/>
          <w:lang w:val="en-US"/>
        </w:rPr>
        <w:t xml:space="preserve"> barriers in access to justice for persons with disabilities under substituted decision-making, in institutions and under psychiatric treatment, stigmatization and discriminatory rulings based on disability; barriers </w:t>
      </w:r>
      <w:r w:rsidR="00980C5B">
        <w:rPr>
          <w:rStyle w:val="markedcontent"/>
          <w:rFonts w:cstheme="minorHAnsi"/>
          <w:lang w:val="en-US"/>
        </w:rPr>
        <w:t>to</w:t>
      </w:r>
      <w:r w:rsidR="00D21DA1" w:rsidRPr="00D21DA1">
        <w:rPr>
          <w:rStyle w:val="markedcontent"/>
          <w:rFonts w:cstheme="minorHAnsi"/>
          <w:lang w:val="en-US"/>
        </w:rPr>
        <w:t xml:space="preserve"> persons with disabilities appeal</w:t>
      </w:r>
      <w:r w:rsidR="00980C5B">
        <w:rPr>
          <w:rStyle w:val="markedcontent"/>
          <w:rFonts w:cstheme="minorHAnsi"/>
          <w:lang w:val="en-US"/>
        </w:rPr>
        <w:t>ing</w:t>
      </w:r>
      <w:r w:rsidR="00D21DA1" w:rsidRPr="00D21DA1">
        <w:rPr>
          <w:rStyle w:val="markedcontent"/>
          <w:rFonts w:cstheme="minorHAnsi"/>
          <w:lang w:val="en-US"/>
        </w:rPr>
        <w:t xml:space="preserve"> decisions concerning psychiatric treatment; the lack of accessibility to justice facilities, including police stations</w:t>
      </w:r>
      <w:r w:rsidR="00D21DA1">
        <w:rPr>
          <w:rStyle w:val="markedcontent"/>
          <w:rFonts w:cstheme="minorHAnsi"/>
          <w:lang w:val="en-US"/>
        </w:rPr>
        <w:t xml:space="preserve">; </w:t>
      </w:r>
      <w:r w:rsidR="00D21DA1" w:rsidRPr="00D21DA1">
        <w:rPr>
          <w:rStyle w:val="markedcontent"/>
          <w:rFonts w:cstheme="minorHAnsi"/>
          <w:lang w:val="en-US"/>
        </w:rPr>
        <w:t>the lack of information about procedural and age-appropriate accommodations and on measures to provide accessible information throughout court proceedings; the limited access to legal</w:t>
      </w:r>
      <w:r w:rsidR="00D21DA1">
        <w:rPr>
          <w:rStyle w:val="markedcontent"/>
          <w:rFonts w:cstheme="minorHAnsi"/>
          <w:lang w:val="en-US"/>
        </w:rPr>
        <w:t xml:space="preserve"> aid due to financial barriers</w:t>
      </w:r>
      <w:r w:rsidR="00980C5B">
        <w:rPr>
          <w:rStyle w:val="markedcontent"/>
          <w:rFonts w:cstheme="minorHAnsi"/>
          <w:lang w:val="en-US"/>
        </w:rPr>
        <w:t>; and</w:t>
      </w:r>
      <w:r w:rsidR="00D21DA1" w:rsidRPr="00D21DA1">
        <w:rPr>
          <w:rStyle w:val="markedcontent"/>
          <w:rFonts w:cstheme="minorHAnsi"/>
          <w:lang w:val="en-US"/>
        </w:rPr>
        <w:t xml:space="preserve"> the limited coverage of independent legal counselling. </w:t>
      </w:r>
      <w:r w:rsidR="00980C5B">
        <w:rPr>
          <w:rStyle w:val="markedcontent"/>
          <w:rFonts w:cstheme="minorHAnsi"/>
          <w:lang w:val="en-US"/>
        </w:rPr>
        <w:t>The Committee</w:t>
      </w:r>
      <w:r w:rsidR="00D21DA1" w:rsidRPr="00D21DA1">
        <w:rPr>
          <w:rStyle w:val="markedcontent"/>
          <w:rFonts w:cstheme="minorHAnsi"/>
          <w:lang w:val="en-US"/>
        </w:rPr>
        <w:t xml:space="preserve"> recalled the International Principles and Guidelines on Access to Justice for Persons with Disabilities (2020) by the Special Rapporteur on the rights of persons with disabilities, and formulated a number of recommendations including to: guarantee access to justice</w:t>
      </w:r>
      <w:r w:rsidR="00980C5B">
        <w:rPr>
          <w:rStyle w:val="markedcontent"/>
          <w:rFonts w:cstheme="minorHAnsi"/>
          <w:lang w:val="en-US"/>
        </w:rPr>
        <w:t xml:space="preserve"> by repealing legislation that restricts the legal capacity of persons with disabilities;</w:t>
      </w:r>
      <w:r w:rsidR="00D21DA1" w:rsidRPr="00D21DA1">
        <w:rPr>
          <w:rStyle w:val="markedcontent"/>
          <w:rFonts w:cstheme="minorHAnsi"/>
          <w:lang w:val="en-US"/>
        </w:rPr>
        <w:t xml:space="preserve"> </w:t>
      </w:r>
      <w:r w:rsidR="00980C5B">
        <w:rPr>
          <w:rStyle w:val="markedcontent"/>
          <w:rFonts w:cstheme="minorHAnsi"/>
          <w:lang w:val="en-US"/>
        </w:rPr>
        <w:t>recognize their full capacity to participate in judicial proceedings in different roles;</w:t>
      </w:r>
      <w:r w:rsidR="00EC205C">
        <w:rPr>
          <w:rStyle w:val="markedcontent"/>
          <w:rFonts w:cstheme="minorHAnsi"/>
          <w:lang w:val="en-US"/>
        </w:rPr>
        <w:t xml:space="preserve"> </w:t>
      </w:r>
      <w:r w:rsidR="00D21DA1" w:rsidRPr="00D21DA1">
        <w:rPr>
          <w:rStyle w:val="markedcontent"/>
          <w:rFonts w:cstheme="minorHAnsi"/>
          <w:lang w:val="en-US"/>
        </w:rPr>
        <w:t>ensure the right to appeal any restriction of freedom</w:t>
      </w:r>
      <w:r w:rsidR="00980C5B">
        <w:rPr>
          <w:rStyle w:val="markedcontent"/>
          <w:rFonts w:cstheme="minorHAnsi"/>
          <w:lang w:val="en-US"/>
        </w:rPr>
        <w:t>;</w:t>
      </w:r>
      <w:r w:rsidR="00D21DA1" w:rsidRPr="00D21DA1">
        <w:rPr>
          <w:rStyle w:val="markedcontent"/>
          <w:rFonts w:cstheme="minorHAnsi"/>
          <w:lang w:val="en-US"/>
        </w:rPr>
        <w:t xml:space="preserve"> establish an independent monitoring and reporting mechanism on access to justice in the mental health system; ensure physical access to justice facilities and access to information throughout judicial procedures</w:t>
      </w:r>
      <w:r w:rsidR="00980C5B">
        <w:rPr>
          <w:rStyle w:val="markedcontent"/>
          <w:rFonts w:cstheme="minorHAnsi"/>
          <w:lang w:val="en-US"/>
        </w:rPr>
        <w:t>; adopt a mechanism to review decisions concerning access to legal aid; and strengthen the  capacity of independent legal advice services</w:t>
      </w:r>
      <w:r w:rsidR="00D21DA1" w:rsidRPr="00D21DA1">
        <w:rPr>
          <w:rStyle w:val="markedcontent"/>
          <w:rFonts w:cstheme="minorHAnsi"/>
          <w:lang w:val="en-US"/>
        </w:rPr>
        <w:t xml:space="preserve"> </w:t>
      </w:r>
      <w:r w:rsidR="00D21DA1" w:rsidRPr="00D21DA1">
        <w:rPr>
          <w:rStyle w:val="sessionsubtitle"/>
          <w:lang w:val="en-US"/>
        </w:rPr>
        <w:t>(</w:t>
      </w:r>
      <w:hyperlink r:id="rId8" w:history="1">
        <w:r w:rsidR="00D21DA1" w:rsidRPr="00D21DA1">
          <w:rPr>
            <w:rStyle w:val="Hyperlink"/>
            <w:lang w:val="en-US"/>
          </w:rPr>
          <w:t>CRPD/C/FRA/CO/1</w:t>
        </w:r>
      </w:hyperlink>
      <w:r w:rsidR="00EC205C">
        <w:rPr>
          <w:rStyle w:val="sessionsubtitle"/>
          <w:lang w:val="en-US"/>
        </w:rPr>
        <w:t>,</w:t>
      </w:r>
      <w:r w:rsidR="00D21DA1" w:rsidRPr="00D21DA1">
        <w:rPr>
          <w:rStyle w:val="sessionsubtitle"/>
          <w:lang w:val="en-US"/>
        </w:rPr>
        <w:t xml:space="preserve"> para</w:t>
      </w:r>
      <w:r w:rsidR="00980C5B">
        <w:rPr>
          <w:rStyle w:val="sessionsubtitle"/>
          <w:lang w:val="en-US"/>
        </w:rPr>
        <w:t>s</w:t>
      </w:r>
      <w:r w:rsidR="00EC205C">
        <w:rPr>
          <w:rStyle w:val="sessionsubtitle"/>
          <w:lang w:val="en-US"/>
        </w:rPr>
        <w:t>.</w:t>
      </w:r>
      <w:r w:rsidR="00D21DA1" w:rsidRPr="00D21DA1">
        <w:rPr>
          <w:rStyle w:val="sessionsubtitle"/>
          <w:lang w:val="en-US"/>
        </w:rPr>
        <w:t xml:space="preserve"> 27-28).</w:t>
      </w:r>
    </w:p>
    <w:p w14:paraId="1F269972" w14:textId="6E2DB617" w:rsidR="00A722A0" w:rsidRPr="00F70D66" w:rsidRDefault="00A722A0" w:rsidP="00F70D66">
      <w:pPr>
        <w:jc w:val="both"/>
        <w:rPr>
          <w:lang w:val="en-US"/>
        </w:rPr>
      </w:pPr>
      <w:r w:rsidRPr="00A722A0">
        <w:rPr>
          <w:lang w:val="en-US"/>
        </w:rPr>
        <w:t>In April 2021, the Special Rapporteur on the independence of judges and lawyers in his report on “The coronavirus disease (COVID-19) pandemic: impact and challenges for independent justice” indicated that lawyers have had to obtain ad hoc authorizations in France. More specifically, a formal self-declaration by lawyers was sufficient to be able to travel, while in other places the authorities were responsible for issuing travel permits, which constituted de facto authorization to work. (</w:t>
      </w:r>
      <w:hyperlink r:id="rId9" w:history="1">
        <w:r w:rsidRPr="00A722A0">
          <w:rPr>
            <w:rStyle w:val="Hyperlink"/>
            <w:lang w:val="en-US"/>
          </w:rPr>
          <w:t>A/HRC/47/35</w:t>
        </w:r>
      </w:hyperlink>
      <w:r w:rsidRPr="00A722A0">
        <w:rPr>
          <w:lang w:val="en-US"/>
        </w:rPr>
        <w:t>, para</w:t>
      </w:r>
      <w:r>
        <w:rPr>
          <w:lang w:val="en-US"/>
        </w:rPr>
        <w:t>.</w:t>
      </w:r>
      <w:r w:rsidRPr="00A722A0">
        <w:rPr>
          <w:lang w:val="en-US"/>
        </w:rPr>
        <w:t xml:space="preserve"> 59)</w:t>
      </w:r>
      <w:r>
        <w:rPr>
          <w:lang w:val="en-US"/>
        </w:rPr>
        <w:t>.</w:t>
      </w:r>
    </w:p>
    <w:p w14:paraId="3BD08FD3" w14:textId="4B1962DC" w:rsidR="00C2008F" w:rsidRDefault="00694C36" w:rsidP="00216D14">
      <w:pPr>
        <w:widowControl w:val="0"/>
        <w:tabs>
          <w:tab w:val="left" w:pos="1216"/>
        </w:tabs>
        <w:autoSpaceDE w:val="0"/>
        <w:autoSpaceDN w:val="0"/>
        <w:spacing w:before="120" w:after="0" w:line="240" w:lineRule="auto"/>
        <w:jc w:val="both"/>
        <w:rPr>
          <w:rStyle w:val="sessionsubtitle"/>
          <w:lang w:val="en-US"/>
        </w:rPr>
      </w:pPr>
      <w:r>
        <w:rPr>
          <w:i/>
          <w:lang w:val="en-US"/>
        </w:rPr>
        <w:t>13.</w:t>
      </w:r>
      <w:r w:rsidRPr="00694C36">
        <w:rPr>
          <w:i/>
          <w:lang w:val="en-US"/>
        </w:rPr>
        <w:t>Training of justice professionals (including judges, prosecutors, lawyers, court</w:t>
      </w:r>
      <w:r w:rsidRPr="00694C36">
        <w:rPr>
          <w:i/>
          <w:spacing w:val="-15"/>
          <w:lang w:val="en-US"/>
        </w:rPr>
        <w:t xml:space="preserve"> </w:t>
      </w:r>
      <w:r w:rsidRPr="00694C36">
        <w:rPr>
          <w:i/>
          <w:lang w:val="en-US"/>
        </w:rPr>
        <w:t>staff)</w:t>
      </w:r>
      <w:r w:rsidR="00C2008F">
        <w:rPr>
          <w:i/>
          <w:lang w:val="en-US"/>
        </w:rPr>
        <w:t xml:space="preserve"> </w:t>
      </w:r>
      <w:r w:rsidR="008D2CC8">
        <w:rPr>
          <w:i/>
          <w:lang w:val="en-US"/>
        </w:rPr>
        <w:br/>
      </w:r>
      <w:r w:rsidR="008D2CC8">
        <w:rPr>
          <w:i/>
          <w:lang w:val="en-US"/>
        </w:rPr>
        <w:br/>
      </w:r>
      <w:r w:rsidR="00EC205C">
        <w:rPr>
          <w:lang w:val="en-US"/>
        </w:rPr>
        <w:t>In its c</w:t>
      </w:r>
      <w:r w:rsidR="00C2008F" w:rsidRPr="00C2008F">
        <w:rPr>
          <w:lang w:val="en-US"/>
        </w:rPr>
        <w:t>oncluding</w:t>
      </w:r>
      <w:r w:rsidR="00D90E36">
        <w:rPr>
          <w:lang w:val="en-US"/>
        </w:rPr>
        <w:t xml:space="preserve"> </w:t>
      </w:r>
      <w:r w:rsidR="00EC205C">
        <w:rPr>
          <w:lang w:val="en-US"/>
        </w:rPr>
        <w:t>o</w:t>
      </w:r>
      <w:r w:rsidR="00D90E36">
        <w:rPr>
          <w:lang w:val="en-US"/>
        </w:rPr>
        <w:t>bservations</w:t>
      </w:r>
      <w:r w:rsidR="00C2008F" w:rsidRPr="00C2008F">
        <w:rPr>
          <w:lang w:val="en-US"/>
        </w:rPr>
        <w:t xml:space="preserve"> </w:t>
      </w:r>
      <w:r w:rsidR="00C2008F" w:rsidRPr="00C2008F">
        <w:rPr>
          <w:rStyle w:val="sessionsubtitle"/>
          <w:lang w:val="en-US"/>
        </w:rPr>
        <w:t>issued in October 2021, the Committee on the Rights of Persons with Disabilities noted with concern the lack of awareness of the rights of persons with disabilities among policymakers, government officials, legal and other professionals, incl</w:t>
      </w:r>
      <w:r w:rsidR="00D90E36">
        <w:rPr>
          <w:rStyle w:val="sessionsubtitle"/>
          <w:lang w:val="en-US"/>
        </w:rPr>
        <w:t>uding</w:t>
      </w:r>
      <w:r w:rsidR="00C2008F" w:rsidRPr="00C2008F">
        <w:rPr>
          <w:rStyle w:val="sessionsubtitle"/>
          <w:lang w:val="en-US"/>
        </w:rPr>
        <w:t xml:space="preserve"> judges. It </w:t>
      </w:r>
      <w:r w:rsidR="00D90E36">
        <w:rPr>
          <w:rStyle w:val="sessionsubtitle"/>
          <w:lang w:val="en-US"/>
        </w:rPr>
        <w:t>recalled the recommendations made by the Special Rapporteur on the rights of persons with disabilities in the report on her visit to France, and recommended that France</w:t>
      </w:r>
      <w:r w:rsidR="00C2008F" w:rsidRPr="00C2008F">
        <w:rPr>
          <w:rStyle w:val="sessionsubtitle"/>
          <w:lang w:val="en-US"/>
        </w:rPr>
        <w:t xml:space="preserve"> ensure that French courts directly apply all justiciable provisions of the Convention; and provide awareness-raising and capacity-building on the human rights model of disability for government officials at all levels, legal professionals, judges, prosecutors and professionals working with persons with disabilities</w:t>
      </w:r>
      <w:r w:rsidR="00D90E36">
        <w:rPr>
          <w:rStyle w:val="sessionsubtitle"/>
          <w:lang w:val="en-US"/>
        </w:rPr>
        <w:t>, with the involvement of</w:t>
      </w:r>
      <w:r w:rsidR="00C2008F" w:rsidRPr="00C2008F">
        <w:rPr>
          <w:rStyle w:val="sessionsubtitle"/>
          <w:lang w:val="en-US"/>
        </w:rPr>
        <w:t xml:space="preserve"> organizations of persons with disabilities in the design and implementation of training courses for public officials.</w:t>
      </w:r>
      <w:r w:rsidR="00D90E36">
        <w:rPr>
          <w:rStyle w:val="sessionsubtitle"/>
          <w:lang w:val="en-US"/>
        </w:rPr>
        <w:t xml:space="preserve"> It also expressed concern about stigmatization and discriminatory rulings based on disability, and recommended that France take measures to eliminate cultural constructs and discriminatory attitudes among the judiciary</w:t>
      </w:r>
      <w:r w:rsidR="00C2008F" w:rsidRPr="00C2008F">
        <w:rPr>
          <w:rStyle w:val="sessionsubtitle"/>
          <w:lang w:val="en-US"/>
        </w:rPr>
        <w:t xml:space="preserve"> (</w:t>
      </w:r>
      <w:hyperlink r:id="rId10" w:history="1">
        <w:r w:rsidR="00C2008F" w:rsidRPr="00C2008F">
          <w:rPr>
            <w:rStyle w:val="Hyperlink"/>
            <w:lang w:val="en-US"/>
          </w:rPr>
          <w:t>CRPD/C/FRA/CO/1</w:t>
        </w:r>
      </w:hyperlink>
      <w:r w:rsidR="00EC205C">
        <w:rPr>
          <w:rStyle w:val="sessionsubtitle"/>
          <w:lang w:val="en-US"/>
        </w:rPr>
        <w:t>,</w:t>
      </w:r>
      <w:r w:rsidR="00C2008F" w:rsidRPr="00C2008F">
        <w:rPr>
          <w:rStyle w:val="sessionsubtitle"/>
          <w:lang w:val="en-US"/>
        </w:rPr>
        <w:t xml:space="preserve"> para</w:t>
      </w:r>
      <w:r w:rsidR="00D90E36">
        <w:rPr>
          <w:rStyle w:val="sessionsubtitle"/>
          <w:lang w:val="en-US"/>
        </w:rPr>
        <w:t>s</w:t>
      </w:r>
      <w:r w:rsidR="00EC205C">
        <w:rPr>
          <w:rStyle w:val="sessionsubtitle"/>
          <w:lang w:val="en-US"/>
        </w:rPr>
        <w:t>.</w:t>
      </w:r>
      <w:r w:rsidR="00C2008F" w:rsidRPr="00C2008F">
        <w:rPr>
          <w:rStyle w:val="sessionsubtitle"/>
          <w:lang w:val="en-US"/>
        </w:rPr>
        <w:t xml:space="preserve"> 7-8</w:t>
      </w:r>
      <w:r w:rsidR="00D90E36">
        <w:rPr>
          <w:rStyle w:val="sessionsubtitle"/>
          <w:lang w:val="en-US"/>
        </w:rPr>
        <w:t>, 27-28</w:t>
      </w:r>
      <w:r w:rsidR="00C2008F" w:rsidRPr="00C2008F">
        <w:rPr>
          <w:rStyle w:val="sessionsubtitle"/>
          <w:lang w:val="en-US"/>
        </w:rPr>
        <w:t>).</w:t>
      </w:r>
    </w:p>
    <w:p w14:paraId="663EC294" w14:textId="13295343" w:rsidR="00FF5A3B" w:rsidRDefault="00FF5A3B" w:rsidP="00FF5A3B">
      <w:pPr>
        <w:widowControl w:val="0"/>
        <w:tabs>
          <w:tab w:val="left" w:pos="1217"/>
        </w:tabs>
        <w:autoSpaceDE w:val="0"/>
        <w:autoSpaceDN w:val="0"/>
        <w:spacing w:before="121" w:after="0" w:line="240" w:lineRule="auto"/>
        <w:ind w:right="425"/>
        <w:rPr>
          <w:i/>
          <w:lang w:val="en-US"/>
        </w:rPr>
      </w:pPr>
    </w:p>
    <w:p w14:paraId="336BFCDF" w14:textId="77777777" w:rsidR="00A722A0" w:rsidRPr="00FF5A3B" w:rsidRDefault="00A722A0" w:rsidP="00FF5A3B">
      <w:pPr>
        <w:widowControl w:val="0"/>
        <w:tabs>
          <w:tab w:val="left" w:pos="1217"/>
        </w:tabs>
        <w:autoSpaceDE w:val="0"/>
        <w:autoSpaceDN w:val="0"/>
        <w:spacing w:before="121" w:after="0" w:line="240" w:lineRule="auto"/>
        <w:ind w:right="425"/>
        <w:rPr>
          <w:i/>
          <w:lang w:val="en-US"/>
        </w:rPr>
      </w:pPr>
      <w:bookmarkStart w:id="0" w:name="_GoBack"/>
      <w:bookmarkEnd w:id="0"/>
    </w:p>
    <w:p w14:paraId="5CD1D694" w14:textId="73D9B284" w:rsidR="001B7CA2" w:rsidRPr="001B7CA2" w:rsidRDefault="001B7CA2" w:rsidP="001B7CA2">
      <w:pPr>
        <w:rPr>
          <w:lang w:val="en-GB"/>
        </w:rPr>
      </w:pPr>
      <w:r w:rsidRPr="001B7CA2">
        <w:rPr>
          <w:b/>
          <w:bCs/>
          <w:i/>
          <w:iCs/>
          <w:lang w:val="en-GB"/>
        </w:rPr>
        <w:t xml:space="preserve">C. Efficiency of the justice system </w:t>
      </w:r>
    </w:p>
    <w:p w14:paraId="22318488" w14:textId="0278C242" w:rsidR="001B7CA2" w:rsidRDefault="001B7CA2" w:rsidP="001B7CA2">
      <w:pPr>
        <w:rPr>
          <w:i/>
          <w:iCs/>
          <w:lang w:val="en-GB"/>
        </w:rPr>
      </w:pPr>
      <w:r w:rsidRPr="001B7CA2">
        <w:rPr>
          <w:i/>
          <w:iCs/>
          <w:lang w:val="en-GB"/>
        </w:rPr>
        <w:t xml:space="preserve">17. Length of proceedings </w:t>
      </w:r>
    </w:p>
    <w:p w14:paraId="2500A71C" w14:textId="1B9544CD" w:rsidR="00D73C9A" w:rsidRPr="00E92BFB" w:rsidRDefault="00D73C9A" w:rsidP="00216D14">
      <w:pPr>
        <w:jc w:val="both"/>
        <w:rPr>
          <w:lang w:val="en-US"/>
        </w:rPr>
      </w:pPr>
      <w:r w:rsidRPr="0059256F">
        <w:rPr>
          <w:rStyle w:val="markedcontent"/>
          <w:rFonts w:cstheme="minorHAnsi"/>
          <w:lang w:val="en-US"/>
        </w:rPr>
        <w:t xml:space="preserve">In November 2021, </w:t>
      </w:r>
      <w:r w:rsidR="00E70B3E">
        <w:rPr>
          <w:rStyle w:val="markedcontent"/>
          <w:rFonts w:cstheme="minorHAnsi"/>
          <w:lang w:val="en-US"/>
        </w:rPr>
        <w:t>four UN</w:t>
      </w:r>
      <w:r w:rsidRPr="0059256F">
        <w:rPr>
          <w:rStyle w:val="markedcontent"/>
          <w:rFonts w:cstheme="minorHAnsi"/>
          <w:lang w:val="en-US"/>
        </w:rPr>
        <w:t xml:space="preserve"> Special Procedures continued </w:t>
      </w:r>
      <w:r w:rsidR="00E70B3E">
        <w:rPr>
          <w:rStyle w:val="markedcontent"/>
          <w:rFonts w:cstheme="minorHAnsi"/>
          <w:lang w:val="en-US"/>
        </w:rPr>
        <w:t>the</w:t>
      </w:r>
      <w:r w:rsidRPr="0059256F">
        <w:rPr>
          <w:rStyle w:val="markedcontent"/>
          <w:rFonts w:cstheme="minorHAnsi"/>
          <w:lang w:val="en-US"/>
        </w:rPr>
        <w:t xml:space="preserve"> dialogue with France about the judicial investigation into the high profile case of </w:t>
      </w:r>
      <w:proofErr w:type="spellStart"/>
      <w:r w:rsidRPr="0059256F">
        <w:rPr>
          <w:rStyle w:val="markedcontent"/>
          <w:rFonts w:cstheme="minorHAnsi"/>
          <w:lang w:val="en-US"/>
        </w:rPr>
        <w:t>Adama</w:t>
      </w:r>
      <w:proofErr w:type="spellEnd"/>
      <w:r w:rsidRPr="0059256F">
        <w:rPr>
          <w:rStyle w:val="markedcontent"/>
          <w:rFonts w:cstheme="minorHAnsi"/>
          <w:lang w:val="en-US"/>
        </w:rPr>
        <w:t xml:space="preserve"> </w:t>
      </w:r>
      <w:proofErr w:type="spellStart"/>
      <w:r w:rsidRPr="0059256F">
        <w:rPr>
          <w:rStyle w:val="markedcontent"/>
          <w:rFonts w:cstheme="minorHAnsi"/>
          <w:lang w:val="en-US"/>
        </w:rPr>
        <w:t>Traore</w:t>
      </w:r>
      <w:proofErr w:type="spellEnd"/>
      <w:r w:rsidRPr="0059256F">
        <w:rPr>
          <w:rStyle w:val="markedcontent"/>
          <w:rFonts w:cstheme="minorHAnsi"/>
          <w:lang w:val="en-US"/>
        </w:rPr>
        <w:t xml:space="preserve">, </w:t>
      </w:r>
      <w:r>
        <w:rPr>
          <w:rStyle w:val="markedcontent"/>
          <w:rFonts w:cstheme="minorHAnsi"/>
          <w:lang w:val="en-US"/>
        </w:rPr>
        <w:t xml:space="preserve">a 24-year man of African descent </w:t>
      </w:r>
      <w:r w:rsidRPr="0059256F">
        <w:rPr>
          <w:rStyle w:val="markedcontent"/>
          <w:rFonts w:cstheme="minorHAnsi"/>
          <w:lang w:val="en-US"/>
        </w:rPr>
        <w:t>who passed away while under the responsibil</w:t>
      </w:r>
      <w:r w:rsidR="00EC205C">
        <w:rPr>
          <w:rStyle w:val="markedcontent"/>
          <w:rFonts w:cstheme="minorHAnsi"/>
          <w:lang w:val="en-US"/>
        </w:rPr>
        <w:t>ity of the gendarmerie in 2016</w:t>
      </w:r>
      <w:r w:rsidR="0008021A">
        <w:rPr>
          <w:rStyle w:val="markedcontent"/>
          <w:rFonts w:cstheme="minorHAnsi"/>
          <w:lang w:val="en-US"/>
        </w:rPr>
        <w:t>.</w:t>
      </w:r>
      <w:r w:rsidR="0008021A" w:rsidRPr="0008021A">
        <w:rPr>
          <w:lang w:val="en-US"/>
        </w:rPr>
        <w:t xml:space="preserve"> </w:t>
      </w:r>
      <w:r w:rsidR="0008021A" w:rsidRPr="0008021A">
        <w:rPr>
          <w:rStyle w:val="markedcontent"/>
          <w:rFonts w:cstheme="minorHAnsi"/>
          <w:lang w:val="en-US"/>
        </w:rPr>
        <w:t>They expressed concern about the slow pace of the investigation since 2016, the fact that no formal charges were brought in relation to the death, and the possible lack of guarantees of independence, impartiality and transparency of the judicial procedure. They expressed further concern at the significant delays to follow-up on requests made by the family of the deceased and the withholding of some information from the family’s lawyer. They also expressed concern at the disregard for the potentially racist dimension of the case. They expressed particular concern that the possible failures to carry out an effective investigation are not an isolated case, but reflect recurring practices in the investigation of similar cases concerning persons of African descent – noting five condemnations of France by the European Co</w:t>
      </w:r>
      <w:r w:rsidR="0008021A">
        <w:rPr>
          <w:rStyle w:val="markedcontent"/>
          <w:rFonts w:cstheme="minorHAnsi"/>
          <w:lang w:val="en-US"/>
        </w:rPr>
        <w:t xml:space="preserve">urt of Human Rights since 2017. </w:t>
      </w:r>
      <w:r w:rsidRPr="0059256F">
        <w:rPr>
          <w:rStyle w:val="markedcontent"/>
          <w:rFonts w:cstheme="minorHAnsi"/>
          <w:lang w:val="en-US"/>
        </w:rPr>
        <w:t>(</w:t>
      </w:r>
      <w:hyperlink r:id="rId11" w:tgtFrame="Com_26792" w:history="1">
        <w:r w:rsidRPr="0059256F">
          <w:rPr>
            <w:rStyle w:val="Hyperlink"/>
            <w:lang w:val="en-US"/>
          </w:rPr>
          <w:t>FRA 10/2021</w:t>
        </w:r>
      </w:hyperlink>
      <w:r>
        <w:rPr>
          <w:lang w:val="en-US"/>
        </w:rPr>
        <w:t>,</w:t>
      </w:r>
      <w:r w:rsidRPr="0059256F">
        <w:rPr>
          <w:rFonts w:cstheme="minorHAnsi"/>
          <w:lang w:val="en-US"/>
        </w:rPr>
        <w:t xml:space="preserve"> following up on </w:t>
      </w:r>
      <w:hyperlink r:id="rId12" w:tgtFrame="Com_22991" w:history="1">
        <w:r w:rsidRPr="0059256F">
          <w:rPr>
            <w:color w:val="0000FF"/>
            <w:u w:val="single"/>
            <w:lang w:val="en-US"/>
          </w:rPr>
          <w:t>FRA 1/2017</w:t>
        </w:r>
      </w:hyperlink>
      <w:r w:rsidRPr="0096290C">
        <w:rPr>
          <w:lang w:val="en-US"/>
        </w:rPr>
        <w:t xml:space="preserve">, </w:t>
      </w:r>
      <w:r>
        <w:rPr>
          <w:lang w:val="en-US"/>
        </w:rPr>
        <w:t xml:space="preserve">also </w:t>
      </w:r>
      <w:r w:rsidRPr="0059256F">
        <w:rPr>
          <w:rFonts w:cstheme="minorHAnsi"/>
          <w:lang w:val="en-US"/>
        </w:rPr>
        <w:t xml:space="preserve">available through </w:t>
      </w:r>
      <w:hyperlink r:id="rId13" w:history="1">
        <w:r w:rsidRPr="0059256F">
          <w:rPr>
            <w:rStyle w:val="Hyperlink"/>
            <w:rFonts w:cstheme="minorHAnsi"/>
            <w:lang w:val="en-US"/>
          </w:rPr>
          <w:t>https://spcommreports.ohchr.org/Tmsearch/TMDocuments</w:t>
        </w:r>
      </w:hyperlink>
      <w:r w:rsidRPr="0059256F">
        <w:rPr>
          <w:lang w:val="en-US"/>
        </w:rPr>
        <w:t>)</w:t>
      </w:r>
      <w:r w:rsidR="00EC205C">
        <w:rPr>
          <w:rFonts w:cstheme="minorHAnsi"/>
          <w:lang w:val="en-US"/>
        </w:rPr>
        <w:t xml:space="preserve">. </w:t>
      </w:r>
    </w:p>
    <w:p w14:paraId="6DC10C6E" w14:textId="77777777" w:rsidR="00D21DA1" w:rsidRPr="00D73C9A" w:rsidRDefault="00D21DA1" w:rsidP="001B7CA2">
      <w:pPr>
        <w:rPr>
          <w:rFonts w:cstheme="minorHAnsi"/>
          <w:i/>
          <w:iCs/>
          <w:lang w:val="en-US"/>
        </w:rPr>
      </w:pPr>
    </w:p>
    <w:p w14:paraId="60B62A00" w14:textId="61359342" w:rsidR="001B7CA2" w:rsidRDefault="001B7CA2" w:rsidP="001B7CA2">
      <w:pPr>
        <w:rPr>
          <w:b/>
          <w:bCs/>
          <w:i/>
          <w:iCs/>
          <w:lang w:val="en-GB"/>
        </w:rPr>
      </w:pPr>
      <w:r w:rsidRPr="009D1508">
        <w:rPr>
          <w:b/>
          <w:bCs/>
          <w:i/>
          <w:iCs/>
          <w:lang w:val="en-GB"/>
        </w:rPr>
        <w:t xml:space="preserve">Other – please specify </w:t>
      </w:r>
    </w:p>
    <w:p w14:paraId="31451056" w14:textId="1980969D" w:rsidR="000347D0" w:rsidRPr="000347D0" w:rsidRDefault="000347D0" w:rsidP="00660C97">
      <w:pPr>
        <w:jc w:val="both"/>
        <w:rPr>
          <w:lang w:val="en-US"/>
        </w:rPr>
      </w:pPr>
      <w:r>
        <w:rPr>
          <w:b/>
          <w:bCs/>
          <w:i/>
          <w:iCs/>
          <w:lang w:val="en-GB"/>
        </w:rPr>
        <w:t xml:space="preserve">Accountability - </w:t>
      </w:r>
      <w:r w:rsidR="00EC205C">
        <w:rPr>
          <w:lang w:val="en-US"/>
        </w:rPr>
        <w:t>In its c</w:t>
      </w:r>
      <w:r w:rsidR="00216D14">
        <w:rPr>
          <w:lang w:val="en-US"/>
        </w:rPr>
        <w:t>on</w:t>
      </w:r>
      <w:r w:rsidR="00412B4F">
        <w:rPr>
          <w:lang w:val="en-US"/>
        </w:rPr>
        <w:t>c</w:t>
      </w:r>
      <w:r w:rsidR="00216D14">
        <w:rPr>
          <w:lang w:val="en-US"/>
        </w:rPr>
        <w:t>luding</w:t>
      </w:r>
      <w:r w:rsidR="00EC205C">
        <w:rPr>
          <w:lang w:val="en-US"/>
        </w:rPr>
        <w:t xml:space="preserve"> o</w:t>
      </w:r>
      <w:r w:rsidRPr="000347D0">
        <w:rPr>
          <w:lang w:val="en-US"/>
        </w:rPr>
        <w:t xml:space="preserve">bservations on the additional information provided by France, issued in September 2021, the UN Committee on Enforced Disappearances </w:t>
      </w:r>
      <w:r w:rsidR="00C055C2">
        <w:rPr>
          <w:lang w:val="en-US"/>
        </w:rPr>
        <w:t>noted that the legislative and institutional f</w:t>
      </w:r>
      <w:r w:rsidR="00400C8F">
        <w:rPr>
          <w:lang w:val="en-US"/>
        </w:rPr>
        <w:t>ramework could</w:t>
      </w:r>
      <w:r w:rsidR="00C055C2">
        <w:rPr>
          <w:lang w:val="en-US"/>
        </w:rPr>
        <w:t xml:space="preserve"> be strengthened so as to prevent and impose sanctions for enforced disappearances more effectively and to better guarantee victims’ rights. The Committee therefore </w:t>
      </w:r>
      <w:r w:rsidR="00660C97">
        <w:rPr>
          <w:lang w:val="en-US"/>
        </w:rPr>
        <w:t xml:space="preserve">formulated a number of recommendations, including to </w:t>
      </w:r>
      <w:r w:rsidR="00C055C2">
        <w:rPr>
          <w:lang w:val="en-US"/>
        </w:rPr>
        <w:t xml:space="preserve">explicitly exclude from military jurisdiction </w:t>
      </w:r>
      <w:r w:rsidRPr="000347D0">
        <w:rPr>
          <w:lang w:val="en-US"/>
        </w:rPr>
        <w:t xml:space="preserve"> the investigation or prosecution of enforced disappearances </w:t>
      </w:r>
      <w:r w:rsidR="00C055C2">
        <w:rPr>
          <w:lang w:val="en-US"/>
        </w:rPr>
        <w:t xml:space="preserve">committed </w:t>
      </w:r>
      <w:r w:rsidRPr="000347D0">
        <w:rPr>
          <w:lang w:val="en-US"/>
        </w:rPr>
        <w:t xml:space="preserve">by military personnel in crisis </w:t>
      </w:r>
      <w:r w:rsidR="00C055C2">
        <w:rPr>
          <w:lang w:val="en-US"/>
        </w:rPr>
        <w:t>situations (states of siege) or states of</w:t>
      </w:r>
      <w:r w:rsidRPr="000347D0">
        <w:rPr>
          <w:lang w:val="en-US"/>
        </w:rPr>
        <w:t xml:space="preserve"> war (</w:t>
      </w:r>
      <w:hyperlink r:id="rId14" w:history="1">
        <w:r w:rsidRPr="000347D0">
          <w:rPr>
            <w:rStyle w:val="Hyperlink"/>
            <w:lang w:val="en-US"/>
          </w:rPr>
          <w:t>CED/C/FRA/OAI/1</w:t>
        </w:r>
      </w:hyperlink>
      <w:r w:rsidR="00EC205C">
        <w:rPr>
          <w:lang w:val="en-US"/>
        </w:rPr>
        <w:t>,</w:t>
      </w:r>
      <w:r w:rsidRPr="000347D0">
        <w:rPr>
          <w:lang w:val="en-US"/>
        </w:rPr>
        <w:t xml:space="preserve"> para</w:t>
      </w:r>
      <w:r w:rsidR="00C055C2">
        <w:rPr>
          <w:lang w:val="en-US"/>
        </w:rPr>
        <w:t>s</w:t>
      </w:r>
      <w:r w:rsidR="00545630">
        <w:rPr>
          <w:lang w:val="en-US"/>
        </w:rPr>
        <w:t>.</w:t>
      </w:r>
      <w:r w:rsidR="00660C97">
        <w:rPr>
          <w:lang w:val="en-US"/>
        </w:rPr>
        <w:t xml:space="preserve"> 8,</w:t>
      </w:r>
      <w:r w:rsidRPr="000347D0">
        <w:rPr>
          <w:lang w:val="en-US"/>
        </w:rPr>
        <w:t xml:space="preserve"> 13-14). </w:t>
      </w:r>
    </w:p>
    <w:p w14:paraId="3824B1CC" w14:textId="77777777" w:rsidR="000347D0" w:rsidRPr="000347D0" w:rsidRDefault="000347D0" w:rsidP="000347D0">
      <w:pPr>
        <w:rPr>
          <w:b/>
          <w:lang w:val="en-US"/>
        </w:rPr>
      </w:pPr>
      <w:r w:rsidRPr="000347D0">
        <w:rPr>
          <w:b/>
          <w:lang w:val="en-US"/>
        </w:rPr>
        <w:t xml:space="preserve">Communication with persons with legitimate interests and judicial recourse </w:t>
      </w:r>
    </w:p>
    <w:p w14:paraId="72C5BA4B" w14:textId="63783088" w:rsidR="000347D0" w:rsidRPr="000347D0" w:rsidRDefault="00EC205C" w:rsidP="00216D14">
      <w:pPr>
        <w:jc w:val="both"/>
        <w:rPr>
          <w:lang w:val="en-US"/>
        </w:rPr>
      </w:pPr>
      <w:r>
        <w:rPr>
          <w:lang w:val="en-US"/>
        </w:rPr>
        <w:t>In its c</w:t>
      </w:r>
      <w:r w:rsidR="00216D14">
        <w:rPr>
          <w:lang w:val="en-US"/>
        </w:rPr>
        <w:t>oncluding</w:t>
      </w:r>
      <w:r>
        <w:rPr>
          <w:lang w:val="en-US"/>
        </w:rPr>
        <w:t xml:space="preserve"> o</w:t>
      </w:r>
      <w:r w:rsidR="000347D0" w:rsidRPr="000347D0">
        <w:rPr>
          <w:lang w:val="en-US"/>
        </w:rPr>
        <w:t xml:space="preserve">bservations on the additional information provided by France, issued in September 2021, the UN Committee on Enforced Disappearances took note of existing rights of persons held in police or remand custody to ask for a relative, their employer, </w:t>
      </w:r>
      <w:proofErr w:type="gramStart"/>
      <w:r w:rsidR="000347D0" w:rsidRPr="000347D0">
        <w:rPr>
          <w:lang w:val="en-US"/>
        </w:rPr>
        <w:t>their</w:t>
      </w:r>
      <w:proofErr w:type="gramEnd"/>
      <w:r w:rsidR="000347D0" w:rsidRPr="000347D0">
        <w:rPr>
          <w:lang w:val="en-US"/>
        </w:rPr>
        <w:t xml:space="preserve"> consular authorities as relevant, to be informed of their detention, and to be assisted by a lawyer. However, the Committee noted with concern that in some exceptional cases an investigation judge may prohibit communication for 10 days, renewable once, although the Convention on Enforced Disappearances provides that all persons deprived of liberty have the right to communicate with their families </w:t>
      </w:r>
      <w:r w:rsidR="000347D0">
        <w:rPr>
          <w:lang w:val="en-US"/>
        </w:rPr>
        <w:t>and that</w:t>
      </w:r>
      <w:r w:rsidR="000347D0" w:rsidRPr="000347D0">
        <w:rPr>
          <w:lang w:val="en-US"/>
        </w:rPr>
        <w:t xml:space="preserve"> relatives have the right to receive information</w:t>
      </w:r>
      <w:r w:rsidR="000347D0">
        <w:rPr>
          <w:lang w:val="en-US"/>
        </w:rPr>
        <w:t xml:space="preserve"> on the deprivation of liberty </w:t>
      </w:r>
      <w:r w:rsidR="000347D0" w:rsidRPr="000347D0">
        <w:rPr>
          <w:lang w:val="en-US"/>
        </w:rPr>
        <w:t>and that any restriction to these rights must be exceptional and strictly necessary. The Committee recommended that all persons deprived of liberty be granted, regardless of wha</w:t>
      </w:r>
      <w:r w:rsidR="00B34D43">
        <w:rPr>
          <w:lang w:val="en-US"/>
        </w:rPr>
        <w:t>t they are</w:t>
      </w:r>
      <w:r w:rsidR="000347D0" w:rsidRPr="000347D0">
        <w:rPr>
          <w:lang w:val="en-US"/>
        </w:rPr>
        <w:t xml:space="preserve"> accused of, all the guarantees under the Convention in law and in practice. It further recommended that all persons with a legitimate interest be granted access to all information guaranteed under the Convention and have the right to judicial recourse to obtain such information without delay without having to be a party to the case (</w:t>
      </w:r>
      <w:hyperlink r:id="rId15" w:history="1">
        <w:r w:rsidR="000347D0" w:rsidRPr="000347D0">
          <w:rPr>
            <w:rStyle w:val="Hyperlink"/>
            <w:lang w:val="en-US"/>
          </w:rPr>
          <w:t>CED/C/FRA/OAI/1</w:t>
        </w:r>
      </w:hyperlink>
      <w:r w:rsidR="00B34D43">
        <w:rPr>
          <w:lang w:val="en-US"/>
        </w:rPr>
        <w:t>,</w:t>
      </w:r>
      <w:r w:rsidR="000347D0" w:rsidRPr="000347D0">
        <w:rPr>
          <w:lang w:val="en-US"/>
        </w:rPr>
        <w:t xml:space="preserve"> para</w:t>
      </w:r>
      <w:r w:rsidR="00C055C2">
        <w:rPr>
          <w:lang w:val="en-US"/>
        </w:rPr>
        <w:t>s</w:t>
      </w:r>
      <w:r w:rsidR="00545630">
        <w:rPr>
          <w:lang w:val="en-US"/>
        </w:rPr>
        <w:t>.</w:t>
      </w:r>
      <w:r w:rsidR="000347D0" w:rsidRPr="000347D0">
        <w:rPr>
          <w:lang w:val="en-US"/>
        </w:rPr>
        <w:t xml:space="preserve"> 19-20). </w:t>
      </w:r>
    </w:p>
    <w:p w14:paraId="2688D1A0" w14:textId="77777777" w:rsidR="000347D0" w:rsidRPr="000347D0" w:rsidRDefault="000347D0" w:rsidP="000347D0">
      <w:pPr>
        <w:rPr>
          <w:b/>
          <w:lang w:val="en-US"/>
        </w:rPr>
      </w:pPr>
      <w:r w:rsidRPr="000347D0">
        <w:rPr>
          <w:b/>
          <w:lang w:val="en-US"/>
        </w:rPr>
        <w:t xml:space="preserve">Reparation for victims </w:t>
      </w:r>
    </w:p>
    <w:p w14:paraId="69DE9CB2" w14:textId="243B7682" w:rsidR="000347D0" w:rsidRPr="00571F15" w:rsidRDefault="00B34D43" w:rsidP="00216D14">
      <w:pPr>
        <w:jc w:val="both"/>
        <w:rPr>
          <w:lang w:val="en-US"/>
        </w:rPr>
      </w:pPr>
      <w:r>
        <w:rPr>
          <w:lang w:val="en-US"/>
        </w:rPr>
        <w:t>In its c</w:t>
      </w:r>
      <w:r w:rsidR="00216D14">
        <w:rPr>
          <w:lang w:val="en-US"/>
        </w:rPr>
        <w:t>oncluding</w:t>
      </w:r>
      <w:r>
        <w:rPr>
          <w:lang w:val="en-US"/>
        </w:rPr>
        <w:t xml:space="preserve"> o</w:t>
      </w:r>
      <w:r w:rsidR="000347D0" w:rsidRPr="000347D0">
        <w:rPr>
          <w:lang w:val="en-US"/>
        </w:rPr>
        <w:t>bservations on the additional information provided by France, issued in September 2021, the UN Committee on Enforce</w:t>
      </w:r>
      <w:r w:rsidR="00216D14">
        <w:rPr>
          <w:lang w:val="en-US"/>
        </w:rPr>
        <w:t xml:space="preserve">d Disappearances recommended </w:t>
      </w:r>
      <w:r w:rsidR="000347D0" w:rsidRPr="000347D0">
        <w:rPr>
          <w:lang w:val="en-US"/>
        </w:rPr>
        <w:t xml:space="preserve">France to guarantee to all victims </w:t>
      </w:r>
      <w:r w:rsidR="000347D0" w:rsidRPr="000347D0">
        <w:rPr>
          <w:lang w:val="en-US"/>
        </w:rPr>
        <w:lastRenderedPageBreak/>
        <w:t>of enforced disappearances the right to truth and reparation, regardless of when the crime was committed and even in the absence of any criminal prosecution.  It recommended France in particular to explicit</w:t>
      </w:r>
      <w:r w:rsidR="00F9651E">
        <w:rPr>
          <w:lang w:val="en-US"/>
        </w:rPr>
        <w:t>ly</w:t>
      </w:r>
      <w:r w:rsidR="000347D0" w:rsidRPr="000347D0">
        <w:rPr>
          <w:lang w:val="en-US"/>
        </w:rPr>
        <w:t xml:space="preserve"> recognize the right </w:t>
      </w:r>
      <w:r w:rsidR="00F9651E">
        <w:rPr>
          <w:lang w:val="en-US"/>
        </w:rPr>
        <w:t xml:space="preserve">of victims </w:t>
      </w:r>
      <w:r w:rsidR="000347D0" w:rsidRPr="000347D0">
        <w:rPr>
          <w:lang w:val="en-US"/>
        </w:rPr>
        <w:t>to tru</w:t>
      </w:r>
      <w:r w:rsidR="008D2CC8">
        <w:rPr>
          <w:lang w:val="en-US"/>
        </w:rPr>
        <w:t>th</w:t>
      </w:r>
      <w:r w:rsidR="000347D0" w:rsidRPr="000347D0">
        <w:rPr>
          <w:lang w:val="en-US"/>
        </w:rPr>
        <w:t xml:space="preserve"> </w:t>
      </w:r>
      <w:r w:rsidR="00F9651E">
        <w:rPr>
          <w:lang w:val="en-US"/>
        </w:rPr>
        <w:t xml:space="preserve">in its legislation, </w:t>
      </w:r>
      <w:r w:rsidR="000347D0" w:rsidRPr="000347D0">
        <w:rPr>
          <w:lang w:val="en-US"/>
        </w:rPr>
        <w:t>and to ensure</w:t>
      </w:r>
      <w:r w:rsidR="00F9651E">
        <w:rPr>
          <w:lang w:val="en-US"/>
        </w:rPr>
        <w:t xml:space="preserve"> that domestic legislation provides for a system of</w:t>
      </w:r>
      <w:r w:rsidR="000347D0" w:rsidRPr="000347D0">
        <w:rPr>
          <w:lang w:val="en-US"/>
        </w:rPr>
        <w:t xml:space="preserve"> full reparation </w:t>
      </w:r>
      <w:r w:rsidR="00F9651E">
        <w:rPr>
          <w:lang w:val="en-US"/>
        </w:rPr>
        <w:t>even</w:t>
      </w:r>
      <w:r w:rsidR="00F9651E" w:rsidRPr="000347D0">
        <w:rPr>
          <w:lang w:val="en-US"/>
        </w:rPr>
        <w:t xml:space="preserve"> </w:t>
      </w:r>
      <w:r w:rsidR="000347D0" w:rsidRPr="000347D0">
        <w:rPr>
          <w:lang w:val="en-US"/>
        </w:rPr>
        <w:t>in the absence of criminal prosecution or when the responsible individuals have not been identified, and taking into account of the specific situation of victims, including their sex, sexual orientation, gender identity, age, ethnic origin, social status or disability</w:t>
      </w:r>
      <w:r>
        <w:rPr>
          <w:lang w:val="en-US"/>
        </w:rPr>
        <w:t xml:space="preserve"> </w:t>
      </w:r>
      <w:r w:rsidR="000347D0" w:rsidRPr="00571F15">
        <w:rPr>
          <w:lang w:val="en-US"/>
        </w:rPr>
        <w:t>(</w:t>
      </w:r>
      <w:hyperlink r:id="rId16" w:history="1">
        <w:r w:rsidR="000347D0" w:rsidRPr="00571F15">
          <w:rPr>
            <w:rStyle w:val="Hyperlink"/>
            <w:lang w:val="en-US"/>
          </w:rPr>
          <w:t>CED/C/FRA/OAI/1</w:t>
        </w:r>
      </w:hyperlink>
      <w:r w:rsidR="000347D0" w:rsidRPr="00571F15">
        <w:rPr>
          <w:lang w:val="en-US"/>
        </w:rPr>
        <w:t>; para</w:t>
      </w:r>
      <w:r w:rsidR="00545630">
        <w:rPr>
          <w:lang w:val="en-US"/>
        </w:rPr>
        <w:t>.</w:t>
      </w:r>
      <w:r w:rsidR="000347D0" w:rsidRPr="00571F15">
        <w:rPr>
          <w:lang w:val="en-US"/>
        </w:rPr>
        <w:t xml:space="preserve"> 22).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25F4B23C"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12FF7FF7" w14:textId="64B61C95" w:rsidR="00724320" w:rsidRPr="002B75DF" w:rsidRDefault="00724320" w:rsidP="00216D14">
      <w:pPr>
        <w:jc w:val="both"/>
        <w:rPr>
          <w:rStyle w:val="markedcontent"/>
          <w:rFonts w:cstheme="minorHAnsi"/>
          <w:lang w:val="en-US"/>
        </w:rPr>
      </w:pPr>
      <w:r w:rsidRPr="00724320">
        <w:rPr>
          <w:rStyle w:val="markedcontent"/>
          <w:rFonts w:cstheme="minorHAnsi"/>
          <w:lang w:val="en-US"/>
        </w:rPr>
        <w:t xml:space="preserve">In March 2021, </w:t>
      </w:r>
      <w:r w:rsidR="00F9651E">
        <w:rPr>
          <w:rStyle w:val="markedcontent"/>
          <w:rFonts w:cstheme="minorHAnsi"/>
          <w:lang w:val="en-US"/>
        </w:rPr>
        <w:t>five UN</w:t>
      </w:r>
      <w:r w:rsidRPr="00724320">
        <w:rPr>
          <w:rStyle w:val="markedcontent"/>
          <w:rFonts w:cstheme="minorHAnsi"/>
          <w:lang w:val="en-US"/>
        </w:rPr>
        <w:t xml:space="preserve"> Special Procedures initiated</w:t>
      </w:r>
      <w:r w:rsidR="009C0A5A">
        <w:rPr>
          <w:rStyle w:val="markedcontent"/>
          <w:rFonts w:cstheme="minorHAnsi"/>
          <w:lang w:val="en-US"/>
        </w:rPr>
        <w:t xml:space="preserve"> a dialogue with France about </w:t>
      </w:r>
      <w:r w:rsidRPr="00724320">
        <w:rPr>
          <w:rStyle w:val="markedcontent"/>
          <w:rFonts w:cstheme="minorHAnsi"/>
          <w:lang w:val="en-US"/>
        </w:rPr>
        <w:t>executive measures and legislative developments pertaining to</w:t>
      </w:r>
      <w:r w:rsidR="00F9651E">
        <w:rPr>
          <w:rStyle w:val="markedcontent"/>
          <w:rFonts w:cstheme="minorHAnsi"/>
          <w:lang w:val="en-US"/>
        </w:rPr>
        <w:t xml:space="preserve"> the</w:t>
      </w:r>
      <w:r w:rsidRPr="00724320">
        <w:rPr>
          <w:rStyle w:val="markedcontent"/>
          <w:rFonts w:cstheme="minorHAnsi"/>
          <w:lang w:val="en-US"/>
        </w:rPr>
        <w:t xml:space="preserve"> administrative dissolution of, and access to public funding for, civil society </w:t>
      </w:r>
      <w:r w:rsidR="00216D14" w:rsidRPr="00724320">
        <w:rPr>
          <w:rStyle w:val="markedcontent"/>
          <w:rFonts w:cstheme="minorHAnsi"/>
          <w:lang w:val="en-US"/>
        </w:rPr>
        <w:t>organizations</w:t>
      </w:r>
      <w:r w:rsidRPr="00724320">
        <w:rPr>
          <w:rStyle w:val="markedcontent"/>
          <w:rFonts w:cstheme="minorHAnsi"/>
          <w:lang w:val="en-US"/>
        </w:rPr>
        <w:t xml:space="preserve"> in France (</w:t>
      </w:r>
      <w:hyperlink r:id="rId17" w:tgtFrame="Com_26047" w:history="1">
        <w:r w:rsidRPr="00724320">
          <w:rPr>
            <w:rStyle w:val="Hyperlink"/>
            <w:lang w:val="en-US"/>
          </w:rPr>
          <w:t>FRA 2/2021</w:t>
        </w:r>
      </w:hyperlink>
      <w:r w:rsidR="009C0A5A">
        <w:rPr>
          <w:rFonts w:cstheme="minorHAnsi"/>
          <w:lang w:val="en-US"/>
        </w:rPr>
        <w:t xml:space="preserve"> also </w:t>
      </w:r>
      <w:r w:rsidRPr="00724320">
        <w:rPr>
          <w:rFonts w:cstheme="minorHAnsi"/>
          <w:lang w:val="en-US"/>
        </w:rPr>
        <w:t xml:space="preserve">available through </w:t>
      </w:r>
      <w:hyperlink r:id="rId18" w:history="1">
        <w:r w:rsidRPr="00724320">
          <w:rPr>
            <w:rStyle w:val="Hyperlink"/>
            <w:rFonts w:cstheme="minorHAnsi"/>
            <w:lang w:val="en-US"/>
          </w:rPr>
          <w:t>https://spcommreports.ohchr.org/Tmsearch/TMDocuments</w:t>
        </w:r>
      </w:hyperlink>
      <w:r w:rsidRPr="00724320">
        <w:rPr>
          <w:lang w:val="en-US"/>
        </w:rPr>
        <w:t>)</w:t>
      </w:r>
      <w:r w:rsidRPr="00724320">
        <w:rPr>
          <w:rStyle w:val="markedcontent"/>
          <w:rFonts w:cstheme="minorHAnsi"/>
          <w:lang w:val="en-US"/>
        </w:rPr>
        <w:t xml:space="preserve">. They expressed concern about the possible lack of proportionality of the dissolution decision in the case at stake. They further expressed concern about the overly broad and vague terminology used in a bill establishing a new ‘Republican commitment contract’ </w:t>
      </w:r>
      <w:r w:rsidR="004958F1">
        <w:rPr>
          <w:rStyle w:val="markedcontent"/>
          <w:rFonts w:cstheme="minorHAnsi"/>
          <w:lang w:val="en-US"/>
        </w:rPr>
        <w:t>that</w:t>
      </w:r>
      <w:r w:rsidRPr="00724320">
        <w:rPr>
          <w:rStyle w:val="markedcontent"/>
          <w:rFonts w:cstheme="minorHAnsi"/>
          <w:lang w:val="en-US"/>
        </w:rPr>
        <w:t xml:space="preserve"> civil society </w:t>
      </w:r>
      <w:r w:rsidR="00216D14" w:rsidRPr="00724320">
        <w:rPr>
          <w:rStyle w:val="markedcontent"/>
          <w:rFonts w:cstheme="minorHAnsi"/>
          <w:lang w:val="en-US"/>
        </w:rPr>
        <w:t>organizations</w:t>
      </w:r>
      <w:r w:rsidR="004958F1">
        <w:rPr>
          <w:rStyle w:val="markedcontent"/>
          <w:rFonts w:cstheme="minorHAnsi"/>
          <w:lang w:val="en-US"/>
        </w:rPr>
        <w:t xml:space="preserve"> would be required to sign</w:t>
      </w:r>
      <w:r w:rsidRPr="00724320">
        <w:rPr>
          <w:rStyle w:val="markedcontent"/>
          <w:rFonts w:cstheme="minorHAnsi"/>
          <w:lang w:val="en-US"/>
        </w:rPr>
        <w:t xml:space="preserve"> in order to obtain public funding, and which could lead to inconsistency or abuse in its implementation once enacted</w:t>
      </w:r>
      <w:r>
        <w:rPr>
          <w:rStyle w:val="markedcontent"/>
          <w:rFonts w:cstheme="minorHAnsi"/>
          <w:lang w:val="en-US"/>
        </w:rPr>
        <w:t xml:space="preserve">. </w:t>
      </w:r>
      <w:r w:rsidR="002B75DF" w:rsidRPr="002B75DF">
        <w:rPr>
          <w:rStyle w:val="markedcontent"/>
          <w:rFonts w:cstheme="minorHAnsi"/>
          <w:lang w:val="en-US"/>
        </w:rPr>
        <w:t>In a follow-up communication in May 2021</w:t>
      </w:r>
      <w:r w:rsidR="00A722A0">
        <w:rPr>
          <w:rStyle w:val="markedcontent"/>
          <w:rFonts w:cstheme="minorHAnsi"/>
          <w:lang w:val="en-US"/>
        </w:rPr>
        <w:t xml:space="preserve"> </w:t>
      </w:r>
      <w:hyperlink r:id="rId19" w:history="1">
        <w:r w:rsidR="00A722A0" w:rsidRPr="00A722A0">
          <w:rPr>
            <w:rStyle w:val="Hyperlink"/>
            <w:rFonts w:cstheme="minorHAnsi"/>
            <w:lang w:val="en-US"/>
          </w:rPr>
          <w:t>https://spcommreports.ohchr.org/Tmsearch/TMDocuments</w:t>
        </w:r>
      </w:hyperlink>
      <w:r w:rsidR="002B75DF" w:rsidRPr="002B75DF">
        <w:rPr>
          <w:lang w:val="en-US"/>
        </w:rPr>
        <w:t xml:space="preserve">), </w:t>
      </w:r>
      <w:r w:rsidR="00F9651E">
        <w:rPr>
          <w:rStyle w:val="markedcontent"/>
          <w:rFonts w:cstheme="minorHAnsi"/>
          <w:lang w:val="en-US"/>
        </w:rPr>
        <w:t>three</w:t>
      </w:r>
      <w:r w:rsidR="00F9651E" w:rsidRPr="002B75DF">
        <w:rPr>
          <w:rStyle w:val="markedcontent"/>
          <w:rFonts w:cstheme="minorHAnsi"/>
          <w:lang w:val="en-US"/>
        </w:rPr>
        <w:t xml:space="preserve"> </w:t>
      </w:r>
      <w:r w:rsidR="00F9651E">
        <w:rPr>
          <w:rStyle w:val="markedcontent"/>
          <w:rFonts w:cstheme="minorHAnsi"/>
          <w:lang w:val="en-US"/>
        </w:rPr>
        <w:t xml:space="preserve">UN </w:t>
      </w:r>
      <w:r w:rsidR="002B75DF" w:rsidRPr="002B75DF">
        <w:rPr>
          <w:rStyle w:val="markedcontent"/>
          <w:rFonts w:cstheme="minorHAnsi"/>
          <w:lang w:val="en-US"/>
        </w:rPr>
        <w:t xml:space="preserve">Special Procedures expressed concern </w:t>
      </w:r>
      <w:r w:rsidR="00F9651E">
        <w:rPr>
          <w:rStyle w:val="markedcontent"/>
          <w:rFonts w:cstheme="minorHAnsi"/>
          <w:lang w:val="en-US"/>
        </w:rPr>
        <w:t>regarding</w:t>
      </w:r>
      <w:r w:rsidR="002B75DF" w:rsidRPr="002B75DF">
        <w:rPr>
          <w:rStyle w:val="markedcontent"/>
          <w:rFonts w:cstheme="minorHAnsi"/>
          <w:lang w:val="en-US"/>
        </w:rPr>
        <w:t xml:space="preserve"> additional grounds for </w:t>
      </w:r>
      <w:r w:rsidR="007B1264">
        <w:rPr>
          <w:rStyle w:val="markedcontent"/>
          <w:rFonts w:cstheme="minorHAnsi"/>
          <w:lang w:val="en-US"/>
        </w:rPr>
        <w:t xml:space="preserve">the </w:t>
      </w:r>
      <w:r w:rsidR="002B75DF" w:rsidRPr="002B75DF">
        <w:rPr>
          <w:rStyle w:val="markedcontent"/>
          <w:rFonts w:cstheme="minorHAnsi"/>
          <w:lang w:val="en-US"/>
        </w:rPr>
        <w:t xml:space="preserve">dissolution of registered civil society </w:t>
      </w:r>
      <w:r w:rsidR="00216D14" w:rsidRPr="002B75DF">
        <w:rPr>
          <w:rStyle w:val="markedcontent"/>
          <w:rFonts w:cstheme="minorHAnsi"/>
          <w:lang w:val="en-US"/>
        </w:rPr>
        <w:t>organizations</w:t>
      </w:r>
      <w:r w:rsidR="007B1264">
        <w:rPr>
          <w:rStyle w:val="markedcontent"/>
          <w:rFonts w:cstheme="minorHAnsi"/>
          <w:lang w:val="en-US"/>
        </w:rPr>
        <w:t>,</w:t>
      </w:r>
      <w:r w:rsidR="002B75DF" w:rsidRPr="002B75DF">
        <w:rPr>
          <w:rStyle w:val="markedcontent"/>
          <w:rFonts w:cstheme="minorHAnsi"/>
          <w:lang w:val="en-US"/>
        </w:rPr>
        <w:t xml:space="preserve"> as introduced by a subsequent version of the same bill.</w:t>
      </w:r>
    </w:p>
    <w:p w14:paraId="3170F293" w14:textId="1D1D04EA" w:rsidR="008C7A94" w:rsidRPr="008C7A94" w:rsidRDefault="008C7A94" w:rsidP="00E7579B">
      <w:pPr>
        <w:jc w:val="both"/>
        <w:rPr>
          <w:rFonts w:eastAsia="Calibri" w:cstheme="minorHAnsi"/>
          <w:sz w:val="20"/>
          <w:szCs w:val="24"/>
          <w:lang w:val="en-GB"/>
        </w:rPr>
      </w:pPr>
    </w:p>
    <w:sectPr w:rsidR="008C7A94" w:rsidRPr="008C7A94">
      <w:footerReference w:type="default" r:id="rId20"/>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45BA" w16cex:dateUtc="2022-02-03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BD0B4D" w16cid:durableId="25A645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81281" w14:textId="77777777" w:rsidR="00B550F4" w:rsidRDefault="00B550F4" w:rsidP="00AB6BD8">
      <w:pPr>
        <w:spacing w:after="0" w:line="240" w:lineRule="auto"/>
      </w:pPr>
      <w:r>
        <w:separator/>
      </w:r>
    </w:p>
  </w:endnote>
  <w:endnote w:type="continuationSeparator" w:id="0">
    <w:p w14:paraId="034C4DF2" w14:textId="77777777" w:rsidR="00B550F4" w:rsidRDefault="00B550F4"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2F984D4E" w:rsidR="00ED7A10" w:rsidRDefault="00ED7A10">
        <w:pPr>
          <w:pStyle w:val="Footer"/>
          <w:jc w:val="center"/>
        </w:pPr>
        <w:r>
          <w:fldChar w:fldCharType="begin"/>
        </w:r>
        <w:r>
          <w:instrText>PAGE   \* MERGEFORMAT</w:instrText>
        </w:r>
        <w:r>
          <w:fldChar w:fldCharType="separate"/>
        </w:r>
        <w:r w:rsidR="00A722A0" w:rsidRPr="00A722A0">
          <w:rPr>
            <w:noProof/>
            <w:lang w:val="fr-FR"/>
          </w:rPr>
          <w:t>3</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B3914" w14:textId="77777777" w:rsidR="00B550F4" w:rsidRDefault="00B550F4" w:rsidP="00AB6BD8">
      <w:pPr>
        <w:spacing w:after="0" w:line="240" w:lineRule="auto"/>
      </w:pPr>
      <w:r>
        <w:separator/>
      </w:r>
    </w:p>
  </w:footnote>
  <w:footnote w:type="continuationSeparator" w:id="0">
    <w:p w14:paraId="51824944" w14:textId="77777777" w:rsidR="00B550F4" w:rsidRDefault="00B550F4"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45E57"/>
    <w:multiLevelType w:val="hybridMultilevel"/>
    <w:tmpl w:val="C888B216"/>
    <w:lvl w:ilvl="0" w:tplc="74F416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4"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8"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2"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1"/>
  </w:num>
  <w:num w:numId="5">
    <w:abstractNumId w:val="4"/>
  </w:num>
  <w:num w:numId="6">
    <w:abstractNumId w:val="6"/>
  </w:num>
  <w:num w:numId="7">
    <w:abstractNumId w:val="10"/>
  </w:num>
  <w:num w:numId="8">
    <w:abstractNumId w:val="9"/>
  </w:num>
  <w:num w:numId="9">
    <w:abstractNumId w:val="11"/>
  </w:num>
  <w:num w:numId="10">
    <w:abstractNumId w:val="5"/>
  </w:num>
  <w:num w:numId="11">
    <w:abstractNumId w:val="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347D0"/>
    <w:rsid w:val="000555C4"/>
    <w:rsid w:val="000618ED"/>
    <w:rsid w:val="00073B7C"/>
    <w:rsid w:val="0008021A"/>
    <w:rsid w:val="00094650"/>
    <w:rsid w:val="000B034D"/>
    <w:rsid w:val="000B5316"/>
    <w:rsid w:val="000D06BF"/>
    <w:rsid w:val="000E3E0A"/>
    <w:rsid w:val="000E4ACA"/>
    <w:rsid w:val="000E4D1E"/>
    <w:rsid w:val="000E58CC"/>
    <w:rsid w:val="000F7447"/>
    <w:rsid w:val="000F74F4"/>
    <w:rsid w:val="00102288"/>
    <w:rsid w:val="00125B2C"/>
    <w:rsid w:val="00137F92"/>
    <w:rsid w:val="00144770"/>
    <w:rsid w:val="00147BF9"/>
    <w:rsid w:val="0015004A"/>
    <w:rsid w:val="00152098"/>
    <w:rsid w:val="00165AFF"/>
    <w:rsid w:val="0017374C"/>
    <w:rsid w:val="001868E0"/>
    <w:rsid w:val="00195595"/>
    <w:rsid w:val="001A17C6"/>
    <w:rsid w:val="001B7CA2"/>
    <w:rsid w:val="001C79A2"/>
    <w:rsid w:val="001C7CCF"/>
    <w:rsid w:val="001E08DC"/>
    <w:rsid w:val="001E0C79"/>
    <w:rsid w:val="001E2105"/>
    <w:rsid w:val="001E41F7"/>
    <w:rsid w:val="002057FA"/>
    <w:rsid w:val="002062B9"/>
    <w:rsid w:val="00206A47"/>
    <w:rsid w:val="00216D14"/>
    <w:rsid w:val="00221C79"/>
    <w:rsid w:val="00231F28"/>
    <w:rsid w:val="00235A91"/>
    <w:rsid w:val="002430D2"/>
    <w:rsid w:val="0024664D"/>
    <w:rsid w:val="00251082"/>
    <w:rsid w:val="00252C8E"/>
    <w:rsid w:val="002668EA"/>
    <w:rsid w:val="00275AE3"/>
    <w:rsid w:val="00293C29"/>
    <w:rsid w:val="00294805"/>
    <w:rsid w:val="002953FF"/>
    <w:rsid w:val="002969C5"/>
    <w:rsid w:val="002B75DF"/>
    <w:rsid w:val="002C15AB"/>
    <w:rsid w:val="002C4AD7"/>
    <w:rsid w:val="002D45D1"/>
    <w:rsid w:val="0030165D"/>
    <w:rsid w:val="00334386"/>
    <w:rsid w:val="003619BB"/>
    <w:rsid w:val="00364DD8"/>
    <w:rsid w:val="00370B46"/>
    <w:rsid w:val="00373184"/>
    <w:rsid w:val="00383787"/>
    <w:rsid w:val="003843E1"/>
    <w:rsid w:val="0038485A"/>
    <w:rsid w:val="0039389B"/>
    <w:rsid w:val="003B4F07"/>
    <w:rsid w:val="003B6352"/>
    <w:rsid w:val="003F19B1"/>
    <w:rsid w:val="003F31AB"/>
    <w:rsid w:val="00400C8F"/>
    <w:rsid w:val="0040439C"/>
    <w:rsid w:val="00405880"/>
    <w:rsid w:val="00412B4F"/>
    <w:rsid w:val="00413FED"/>
    <w:rsid w:val="00445679"/>
    <w:rsid w:val="00447DF5"/>
    <w:rsid w:val="00451BE5"/>
    <w:rsid w:val="00454588"/>
    <w:rsid w:val="00462100"/>
    <w:rsid w:val="0046228F"/>
    <w:rsid w:val="004809CC"/>
    <w:rsid w:val="00491A44"/>
    <w:rsid w:val="004958F1"/>
    <w:rsid w:val="004A0573"/>
    <w:rsid w:val="004B3D09"/>
    <w:rsid w:val="004B60DD"/>
    <w:rsid w:val="004C0B1F"/>
    <w:rsid w:val="004E2A0C"/>
    <w:rsid w:val="004E5D2F"/>
    <w:rsid w:val="005314FE"/>
    <w:rsid w:val="00545630"/>
    <w:rsid w:val="00561741"/>
    <w:rsid w:val="00571F15"/>
    <w:rsid w:val="00572CAC"/>
    <w:rsid w:val="00572D29"/>
    <w:rsid w:val="00576122"/>
    <w:rsid w:val="0059256F"/>
    <w:rsid w:val="00592F7B"/>
    <w:rsid w:val="005936DA"/>
    <w:rsid w:val="00595A34"/>
    <w:rsid w:val="005A53B1"/>
    <w:rsid w:val="005C4199"/>
    <w:rsid w:val="005E08A3"/>
    <w:rsid w:val="00600F16"/>
    <w:rsid w:val="0061181D"/>
    <w:rsid w:val="00621476"/>
    <w:rsid w:val="00633DEB"/>
    <w:rsid w:val="0064596A"/>
    <w:rsid w:val="00656276"/>
    <w:rsid w:val="006569A4"/>
    <w:rsid w:val="00660C97"/>
    <w:rsid w:val="0066480F"/>
    <w:rsid w:val="00667E7E"/>
    <w:rsid w:val="00694C36"/>
    <w:rsid w:val="006B2EEF"/>
    <w:rsid w:val="006F10BF"/>
    <w:rsid w:val="006F29F1"/>
    <w:rsid w:val="006F487A"/>
    <w:rsid w:val="00724320"/>
    <w:rsid w:val="00726393"/>
    <w:rsid w:val="0074007C"/>
    <w:rsid w:val="007467E2"/>
    <w:rsid w:val="00753FA0"/>
    <w:rsid w:val="00761C86"/>
    <w:rsid w:val="00794384"/>
    <w:rsid w:val="0079724B"/>
    <w:rsid w:val="007B1264"/>
    <w:rsid w:val="007C7FC0"/>
    <w:rsid w:val="007D7490"/>
    <w:rsid w:val="007F1F30"/>
    <w:rsid w:val="007F529E"/>
    <w:rsid w:val="0080379C"/>
    <w:rsid w:val="00812CA6"/>
    <w:rsid w:val="00815599"/>
    <w:rsid w:val="00820269"/>
    <w:rsid w:val="00824724"/>
    <w:rsid w:val="0083739F"/>
    <w:rsid w:val="008526FE"/>
    <w:rsid w:val="008628EF"/>
    <w:rsid w:val="00867498"/>
    <w:rsid w:val="00867CBB"/>
    <w:rsid w:val="0088139C"/>
    <w:rsid w:val="008A1B74"/>
    <w:rsid w:val="008A7229"/>
    <w:rsid w:val="008B4992"/>
    <w:rsid w:val="008B50CB"/>
    <w:rsid w:val="008B5DE9"/>
    <w:rsid w:val="008C4306"/>
    <w:rsid w:val="008C4411"/>
    <w:rsid w:val="008C7A94"/>
    <w:rsid w:val="008D2CC8"/>
    <w:rsid w:val="008D7F8C"/>
    <w:rsid w:val="008E4FD7"/>
    <w:rsid w:val="008E537C"/>
    <w:rsid w:val="008F5F0F"/>
    <w:rsid w:val="008F689A"/>
    <w:rsid w:val="00916B8E"/>
    <w:rsid w:val="00923EBE"/>
    <w:rsid w:val="009441AD"/>
    <w:rsid w:val="00951DEB"/>
    <w:rsid w:val="00953A56"/>
    <w:rsid w:val="0096290C"/>
    <w:rsid w:val="00962913"/>
    <w:rsid w:val="0096772C"/>
    <w:rsid w:val="00980C5B"/>
    <w:rsid w:val="00991323"/>
    <w:rsid w:val="00997215"/>
    <w:rsid w:val="009C040C"/>
    <w:rsid w:val="009C0A5A"/>
    <w:rsid w:val="009C6B9F"/>
    <w:rsid w:val="009D1508"/>
    <w:rsid w:val="009E48E9"/>
    <w:rsid w:val="00A0790E"/>
    <w:rsid w:val="00A1060B"/>
    <w:rsid w:val="00A118BB"/>
    <w:rsid w:val="00A2011E"/>
    <w:rsid w:val="00A27CA3"/>
    <w:rsid w:val="00A31B59"/>
    <w:rsid w:val="00A33884"/>
    <w:rsid w:val="00A47B7D"/>
    <w:rsid w:val="00A722A0"/>
    <w:rsid w:val="00A8576F"/>
    <w:rsid w:val="00A95DE7"/>
    <w:rsid w:val="00AB39DD"/>
    <w:rsid w:val="00AB4073"/>
    <w:rsid w:val="00AB6BD8"/>
    <w:rsid w:val="00AD14BD"/>
    <w:rsid w:val="00AD5BC2"/>
    <w:rsid w:val="00AE13F5"/>
    <w:rsid w:val="00AF231D"/>
    <w:rsid w:val="00AF33F6"/>
    <w:rsid w:val="00AF4734"/>
    <w:rsid w:val="00AF6778"/>
    <w:rsid w:val="00B06121"/>
    <w:rsid w:val="00B1077E"/>
    <w:rsid w:val="00B3376B"/>
    <w:rsid w:val="00B34D43"/>
    <w:rsid w:val="00B4482C"/>
    <w:rsid w:val="00B54E3F"/>
    <w:rsid w:val="00B550F4"/>
    <w:rsid w:val="00B669A0"/>
    <w:rsid w:val="00B837B5"/>
    <w:rsid w:val="00B8626C"/>
    <w:rsid w:val="00B92E78"/>
    <w:rsid w:val="00B94426"/>
    <w:rsid w:val="00B9532B"/>
    <w:rsid w:val="00BB67D7"/>
    <w:rsid w:val="00BB7A69"/>
    <w:rsid w:val="00BC15DD"/>
    <w:rsid w:val="00BC1D9A"/>
    <w:rsid w:val="00BF199A"/>
    <w:rsid w:val="00C055C2"/>
    <w:rsid w:val="00C2008F"/>
    <w:rsid w:val="00C206C5"/>
    <w:rsid w:val="00C21B69"/>
    <w:rsid w:val="00C25048"/>
    <w:rsid w:val="00C25AA5"/>
    <w:rsid w:val="00C32432"/>
    <w:rsid w:val="00C34944"/>
    <w:rsid w:val="00C357C2"/>
    <w:rsid w:val="00C37103"/>
    <w:rsid w:val="00C46DCD"/>
    <w:rsid w:val="00C5007B"/>
    <w:rsid w:val="00C91D1B"/>
    <w:rsid w:val="00CB73BB"/>
    <w:rsid w:val="00CC6B37"/>
    <w:rsid w:val="00CD1815"/>
    <w:rsid w:val="00CD6BD3"/>
    <w:rsid w:val="00CD7A88"/>
    <w:rsid w:val="00CE4C75"/>
    <w:rsid w:val="00CF698C"/>
    <w:rsid w:val="00D002BC"/>
    <w:rsid w:val="00D027D9"/>
    <w:rsid w:val="00D05719"/>
    <w:rsid w:val="00D17788"/>
    <w:rsid w:val="00D21DA1"/>
    <w:rsid w:val="00D60B12"/>
    <w:rsid w:val="00D64FBA"/>
    <w:rsid w:val="00D6657B"/>
    <w:rsid w:val="00D73C9A"/>
    <w:rsid w:val="00D76481"/>
    <w:rsid w:val="00D776C3"/>
    <w:rsid w:val="00D848D8"/>
    <w:rsid w:val="00D87626"/>
    <w:rsid w:val="00D90E36"/>
    <w:rsid w:val="00D92F0C"/>
    <w:rsid w:val="00DA2342"/>
    <w:rsid w:val="00DC04CC"/>
    <w:rsid w:val="00DC2228"/>
    <w:rsid w:val="00DC36E4"/>
    <w:rsid w:val="00DC49B7"/>
    <w:rsid w:val="00DC5B32"/>
    <w:rsid w:val="00DD1A75"/>
    <w:rsid w:val="00DD51BC"/>
    <w:rsid w:val="00DE2240"/>
    <w:rsid w:val="00DF181A"/>
    <w:rsid w:val="00E14E2A"/>
    <w:rsid w:val="00E33076"/>
    <w:rsid w:val="00E70B3E"/>
    <w:rsid w:val="00E70E81"/>
    <w:rsid w:val="00E7390A"/>
    <w:rsid w:val="00E7579B"/>
    <w:rsid w:val="00E75F98"/>
    <w:rsid w:val="00E85BC4"/>
    <w:rsid w:val="00E87A2E"/>
    <w:rsid w:val="00E92C99"/>
    <w:rsid w:val="00E943EC"/>
    <w:rsid w:val="00EA5201"/>
    <w:rsid w:val="00EA5830"/>
    <w:rsid w:val="00EB0581"/>
    <w:rsid w:val="00EB3BD2"/>
    <w:rsid w:val="00EC205C"/>
    <w:rsid w:val="00ED5335"/>
    <w:rsid w:val="00ED7A10"/>
    <w:rsid w:val="00EE6A52"/>
    <w:rsid w:val="00EF2BDF"/>
    <w:rsid w:val="00EF36D6"/>
    <w:rsid w:val="00EF4DF8"/>
    <w:rsid w:val="00EF519B"/>
    <w:rsid w:val="00F13F0E"/>
    <w:rsid w:val="00F464F2"/>
    <w:rsid w:val="00F70D66"/>
    <w:rsid w:val="00F7351E"/>
    <w:rsid w:val="00F767DF"/>
    <w:rsid w:val="00F7725E"/>
    <w:rsid w:val="00F9651E"/>
    <w:rsid w:val="00FE1807"/>
    <w:rsid w:val="00FF410C"/>
    <w:rsid w:val="00FF5A3B"/>
    <w:rsid w:val="00FF5EE4"/>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2E0472BA-ED5D-449B-8994-6AEE572B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character" w:customStyle="1" w:styleId="UnresolvedMention2">
    <w:name w:val="Unresolved Mention2"/>
    <w:basedOn w:val="DefaultParagraphFont"/>
    <w:uiPriority w:val="99"/>
    <w:semiHidden/>
    <w:unhideWhenUsed/>
    <w:rsid w:val="003B6352"/>
    <w:rPr>
      <w:color w:val="605E5C"/>
      <w:shd w:val="clear" w:color="auto" w:fill="E1DFDD"/>
    </w:rPr>
  </w:style>
  <w:style w:type="character" w:customStyle="1" w:styleId="sessionsubtitle">
    <w:name w:val="sessionsubtitle"/>
    <w:basedOn w:val="DefaultParagraphFont"/>
    <w:rsid w:val="00C2008F"/>
  </w:style>
  <w:style w:type="character" w:customStyle="1" w:styleId="markedcontent">
    <w:name w:val="markedcontent"/>
    <w:basedOn w:val="DefaultParagraphFont"/>
    <w:rsid w:val="00C2008F"/>
  </w:style>
  <w:style w:type="paragraph" w:styleId="Revision">
    <w:name w:val="Revision"/>
    <w:hidden/>
    <w:uiPriority w:val="99"/>
    <w:semiHidden/>
    <w:rsid w:val="000B53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2714">
      <w:bodyDiv w:val="1"/>
      <w:marLeft w:val="0"/>
      <w:marRight w:val="0"/>
      <w:marTop w:val="0"/>
      <w:marBottom w:val="0"/>
      <w:divBdr>
        <w:top w:val="none" w:sz="0" w:space="0" w:color="auto"/>
        <w:left w:val="none" w:sz="0" w:space="0" w:color="auto"/>
        <w:bottom w:val="none" w:sz="0" w:space="0" w:color="auto"/>
        <w:right w:val="none" w:sz="0" w:space="0" w:color="auto"/>
      </w:divBdr>
      <w:divsChild>
        <w:div w:id="1387726321">
          <w:marLeft w:val="0"/>
          <w:marRight w:val="0"/>
          <w:marTop w:val="0"/>
          <w:marBottom w:val="0"/>
          <w:divBdr>
            <w:top w:val="none" w:sz="0" w:space="0" w:color="auto"/>
            <w:left w:val="none" w:sz="0" w:space="0" w:color="auto"/>
            <w:bottom w:val="none" w:sz="0" w:space="0" w:color="auto"/>
            <w:right w:val="none" w:sz="0" w:space="0" w:color="auto"/>
          </w:divBdr>
          <w:divsChild>
            <w:div w:id="280652256">
              <w:marLeft w:val="0"/>
              <w:marRight w:val="0"/>
              <w:marTop w:val="0"/>
              <w:marBottom w:val="0"/>
              <w:divBdr>
                <w:top w:val="none" w:sz="0" w:space="0" w:color="auto"/>
                <w:left w:val="none" w:sz="0" w:space="0" w:color="auto"/>
                <w:bottom w:val="none" w:sz="0" w:space="0" w:color="auto"/>
                <w:right w:val="none" w:sz="0" w:space="0" w:color="auto"/>
              </w:divBdr>
              <w:divsChild>
                <w:div w:id="174190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22335063">
      <w:bodyDiv w:val="1"/>
      <w:marLeft w:val="0"/>
      <w:marRight w:val="0"/>
      <w:marTop w:val="0"/>
      <w:marBottom w:val="0"/>
      <w:divBdr>
        <w:top w:val="none" w:sz="0" w:space="0" w:color="auto"/>
        <w:left w:val="none" w:sz="0" w:space="0" w:color="auto"/>
        <w:bottom w:val="none" w:sz="0" w:space="0" w:color="auto"/>
        <w:right w:val="none" w:sz="0" w:space="0" w:color="auto"/>
      </w:divBdr>
      <w:divsChild>
        <w:div w:id="34545583">
          <w:marLeft w:val="0"/>
          <w:marRight w:val="0"/>
          <w:marTop w:val="0"/>
          <w:marBottom w:val="0"/>
          <w:divBdr>
            <w:top w:val="none" w:sz="0" w:space="0" w:color="auto"/>
            <w:left w:val="none" w:sz="0" w:space="0" w:color="auto"/>
            <w:bottom w:val="none" w:sz="0" w:space="0" w:color="auto"/>
            <w:right w:val="none" w:sz="0" w:space="0" w:color="auto"/>
          </w:divBdr>
          <w:divsChild>
            <w:div w:id="509026226">
              <w:marLeft w:val="0"/>
              <w:marRight w:val="0"/>
              <w:marTop w:val="0"/>
              <w:marBottom w:val="0"/>
              <w:divBdr>
                <w:top w:val="none" w:sz="0" w:space="0" w:color="auto"/>
                <w:left w:val="none" w:sz="0" w:space="0" w:color="auto"/>
                <w:bottom w:val="none" w:sz="0" w:space="0" w:color="auto"/>
                <w:right w:val="none" w:sz="0" w:space="0" w:color="auto"/>
              </w:divBdr>
              <w:divsChild>
                <w:div w:id="129154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591553201">
      <w:bodyDiv w:val="1"/>
      <w:marLeft w:val="0"/>
      <w:marRight w:val="0"/>
      <w:marTop w:val="0"/>
      <w:marBottom w:val="0"/>
      <w:divBdr>
        <w:top w:val="none" w:sz="0" w:space="0" w:color="auto"/>
        <w:left w:val="none" w:sz="0" w:space="0" w:color="auto"/>
        <w:bottom w:val="none" w:sz="0" w:space="0" w:color="auto"/>
        <w:right w:val="none" w:sz="0" w:space="0" w:color="auto"/>
      </w:divBdr>
      <w:divsChild>
        <w:div w:id="628366075">
          <w:marLeft w:val="0"/>
          <w:marRight w:val="0"/>
          <w:marTop w:val="0"/>
          <w:marBottom w:val="0"/>
          <w:divBdr>
            <w:top w:val="none" w:sz="0" w:space="0" w:color="auto"/>
            <w:left w:val="none" w:sz="0" w:space="0" w:color="auto"/>
            <w:bottom w:val="none" w:sz="0" w:space="0" w:color="auto"/>
            <w:right w:val="none" w:sz="0" w:space="0" w:color="auto"/>
          </w:divBdr>
          <w:divsChild>
            <w:div w:id="554703835">
              <w:marLeft w:val="0"/>
              <w:marRight w:val="0"/>
              <w:marTop w:val="0"/>
              <w:marBottom w:val="0"/>
              <w:divBdr>
                <w:top w:val="none" w:sz="0" w:space="0" w:color="auto"/>
                <w:left w:val="none" w:sz="0" w:space="0" w:color="auto"/>
                <w:bottom w:val="none" w:sz="0" w:space="0" w:color="auto"/>
                <w:right w:val="none" w:sz="0" w:space="0" w:color="auto"/>
              </w:divBdr>
              <w:divsChild>
                <w:div w:id="77680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652414305">
      <w:bodyDiv w:val="1"/>
      <w:marLeft w:val="0"/>
      <w:marRight w:val="0"/>
      <w:marTop w:val="0"/>
      <w:marBottom w:val="0"/>
      <w:divBdr>
        <w:top w:val="none" w:sz="0" w:space="0" w:color="auto"/>
        <w:left w:val="none" w:sz="0" w:space="0" w:color="auto"/>
        <w:bottom w:val="none" w:sz="0" w:space="0" w:color="auto"/>
        <w:right w:val="none" w:sz="0" w:space="0" w:color="auto"/>
      </w:divBdr>
      <w:divsChild>
        <w:div w:id="1517844513">
          <w:marLeft w:val="0"/>
          <w:marRight w:val="0"/>
          <w:marTop w:val="0"/>
          <w:marBottom w:val="0"/>
          <w:divBdr>
            <w:top w:val="none" w:sz="0" w:space="0" w:color="auto"/>
            <w:left w:val="none" w:sz="0" w:space="0" w:color="auto"/>
            <w:bottom w:val="none" w:sz="0" w:space="0" w:color="auto"/>
            <w:right w:val="none" w:sz="0" w:space="0" w:color="auto"/>
          </w:divBdr>
          <w:divsChild>
            <w:div w:id="703406408">
              <w:marLeft w:val="0"/>
              <w:marRight w:val="0"/>
              <w:marTop w:val="0"/>
              <w:marBottom w:val="0"/>
              <w:divBdr>
                <w:top w:val="none" w:sz="0" w:space="0" w:color="auto"/>
                <w:left w:val="none" w:sz="0" w:space="0" w:color="auto"/>
                <w:bottom w:val="none" w:sz="0" w:space="0" w:color="auto"/>
                <w:right w:val="none" w:sz="0" w:space="0" w:color="auto"/>
              </w:divBdr>
              <w:divsChild>
                <w:div w:id="110206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784691174">
      <w:bodyDiv w:val="1"/>
      <w:marLeft w:val="0"/>
      <w:marRight w:val="0"/>
      <w:marTop w:val="0"/>
      <w:marBottom w:val="0"/>
      <w:divBdr>
        <w:top w:val="none" w:sz="0" w:space="0" w:color="auto"/>
        <w:left w:val="none" w:sz="0" w:space="0" w:color="auto"/>
        <w:bottom w:val="none" w:sz="0" w:space="0" w:color="auto"/>
        <w:right w:val="none" w:sz="0" w:space="0" w:color="auto"/>
      </w:divBdr>
    </w:div>
    <w:div w:id="815533929">
      <w:bodyDiv w:val="1"/>
      <w:marLeft w:val="0"/>
      <w:marRight w:val="0"/>
      <w:marTop w:val="0"/>
      <w:marBottom w:val="0"/>
      <w:divBdr>
        <w:top w:val="none" w:sz="0" w:space="0" w:color="auto"/>
        <w:left w:val="none" w:sz="0" w:space="0" w:color="auto"/>
        <w:bottom w:val="none" w:sz="0" w:space="0" w:color="auto"/>
        <w:right w:val="none" w:sz="0" w:space="0" w:color="auto"/>
      </w:divBdr>
    </w:div>
    <w:div w:id="833185956">
      <w:bodyDiv w:val="1"/>
      <w:marLeft w:val="0"/>
      <w:marRight w:val="0"/>
      <w:marTop w:val="0"/>
      <w:marBottom w:val="0"/>
      <w:divBdr>
        <w:top w:val="none" w:sz="0" w:space="0" w:color="auto"/>
        <w:left w:val="none" w:sz="0" w:space="0" w:color="auto"/>
        <w:bottom w:val="none" w:sz="0" w:space="0" w:color="auto"/>
        <w:right w:val="none" w:sz="0" w:space="0" w:color="auto"/>
      </w:divBdr>
      <w:divsChild>
        <w:div w:id="137578479">
          <w:marLeft w:val="0"/>
          <w:marRight w:val="0"/>
          <w:marTop w:val="0"/>
          <w:marBottom w:val="0"/>
          <w:divBdr>
            <w:top w:val="none" w:sz="0" w:space="0" w:color="auto"/>
            <w:left w:val="none" w:sz="0" w:space="0" w:color="auto"/>
            <w:bottom w:val="none" w:sz="0" w:space="0" w:color="auto"/>
            <w:right w:val="none" w:sz="0" w:space="0" w:color="auto"/>
          </w:divBdr>
          <w:divsChild>
            <w:div w:id="784080234">
              <w:marLeft w:val="0"/>
              <w:marRight w:val="0"/>
              <w:marTop w:val="0"/>
              <w:marBottom w:val="0"/>
              <w:divBdr>
                <w:top w:val="none" w:sz="0" w:space="0" w:color="auto"/>
                <w:left w:val="none" w:sz="0" w:space="0" w:color="auto"/>
                <w:bottom w:val="none" w:sz="0" w:space="0" w:color="auto"/>
                <w:right w:val="none" w:sz="0" w:space="0" w:color="auto"/>
              </w:divBdr>
              <w:divsChild>
                <w:div w:id="53080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3026">
      <w:bodyDiv w:val="1"/>
      <w:marLeft w:val="0"/>
      <w:marRight w:val="0"/>
      <w:marTop w:val="0"/>
      <w:marBottom w:val="0"/>
      <w:divBdr>
        <w:top w:val="none" w:sz="0" w:space="0" w:color="auto"/>
        <w:left w:val="none" w:sz="0" w:space="0" w:color="auto"/>
        <w:bottom w:val="none" w:sz="0" w:space="0" w:color="auto"/>
        <w:right w:val="none" w:sz="0" w:space="0" w:color="auto"/>
      </w:divBdr>
      <w:divsChild>
        <w:div w:id="1649432080">
          <w:marLeft w:val="0"/>
          <w:marRight w:val="0"/>
          <w:marTop w:val="0"/>
          <w:marBottom w:val="0"/>
          <w:divBdr>
            <w:top w:val="none" w:sz="0" w:space="0" w:color="auto"/>
            <w:left w:val="none" w:sz="0" w:space="0" w:color="auto"/>
            <w:bottom w:val="none" w:sz="0" w:space="0" w:color="auto"/>
            <w:right w:val="none" w:sz="0" w:space="0" w:color="auto"/>
          </w:divBdr>
          <w:divsChild>
            <w:div w:id="585919958">
              <w:marLeft w:val="0"/>
              <w:marRight w:val="0"/>
              <w:marTop w:val="0"/>
              <w:marBottom w:val="0"/>
              <w:divBdr>
                <w:top w:val="none" w:sz="0" w:space="0" w:color="auto"/>
                <w:left w:val="none" w:sz="0" w:space="0" w:color="auto"/>
                <w:bottom w:val="none" w:sz="0" w:space="0" w:color="auto"/>
                <w:right w:val="none" w:sz="0" w:space="0" w:color="auto"/>
              </w:divBdr>
              <w:divsChild>
                <w:div w:id="56533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070658">
      <w:bodyDiv w:val="1"/>
      <w:marLeft w:val="0"/>
      <w:marRight w:val="0"/>
      <w:marTop w:val="0"/>
      <w:marBottom w:val="0"/>
      <w:divBdr>
        <w:top w:val="none" w:sz="0" w:space="0" w:color="auto"/>
        <w:left w:val="none" w:sz="0" w:space="0" w:color="auto"/>
        <w:bottom w:val="none" w:sz="0" w:space="0" w:color="auto"/>
        <w:right w:val="none" w:sz="0" w:space="0" w:color="auto"/>
      </w:divBdr>
      <w:divsChild>
        <w:div w:id="1493181120">
          <w:marLeft w:val="0"/>
          <w:marRight w:val="0"/>
          <w:marTop w:val="0"/>
          <w:marBottom w:val="0"/>
          <w:divBdr>
            <w:top w:val="none" w:sz="0" w:space="0" w:color="auto"/>
            <w:left w:val="none" w:sz="0" w:space="0" w:color="auto"/>
            <w:bottom w:val="none" w:sz="0" w:space="0" w:color="auto"/>
            <w:right w:val="none" w:sz="0" w:space="0" w:color="auto"/>
          </w:divBdr>
          <w:divsChild>
            <w:div w:id="625811978">
              <w:marLeft w:val="0"/>
              <w:marRight w:val="0"/>
              <w:marTop w:val="0"/>
              <w:marBottom w:val="0"/>
              <w:divBdr>
                <w:top w:val="none" w:sz="0" w:space="0" w:color="auto"/>
                <w:left w:val="none" w:sz="0" w:space="0" w:color="auto"/>
                <w:bottom w:val="none" w:sz="0" w:space="0" w:color="auto"/>
                <w:right w:val="none" w:sz="0" w:space="0" w:color="auto"/>
              </w:divBdr>
              <w:divsChild>
                <w:div w:id="71134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58285">
      <w:bodyDiv w:val="1"/>
      <w:marLeft w:val="0"/>
      <w:marRight w:val="0"/>
      <w:marTop w:val="0"/>
      <w:marBottom w:val="0"/>
      <w:divBdr>
        <w:top w:val="none" w:sz="0" w:space="0" w:color="auto"/>
        <w:left w:val="none" w:sz="0" w:space="0" w:color="auto"/>
        <w:bottom w:val="none" w:sz="0" w:space="0" w:color="auto"/>
        <w:right w:val="none" w:sz="0" w:space="0" w:color="auto"/>
      </w:divBdr>
      <w:divsChild>
        <w:div w:id="611792074">
          <w:marLeft w:val="0"/>
          <w:marRight w:val="0"/>
          <w:marTop w:val="0"/>
          <w:marBottom w:val="0"/>
          <w:divBdr>
            <w:top w:val="none" w:sz="0" w:space="0" w:color="auto"/>
            <w:left w:val="none" w:sz="0" w:space="0" w:color="auto"/>
            <w:bottom w:val="none" w:sz="0" w:space="0" w:color="auto"/>
            <w:right w:val="none" w:sz="0" w:space="0" w:color="auto"/>
          </w:divBdr>
          <w:divsChild>
            <w:div w:id="269629979">
              <w:marLeft w:val="0"/>
              <w:marRight w:val="0"/>
              <w:marTop w:val="0"/>
              <w:marBottom w:val="0"/>
              <w:divBdr>
                <w:top w:val="none" w:sz="0" w:space="0" w:color="auto"/>
                <w:left w:val="none" w:sz="0" w:space="0" w:color="auto"/>
                <w:bottom w:val="none" w:sz="0" w:space="0" w:color="auto"/>
                <w:right w:val="none" w:sz="0" w:space="0" w:color="auto"/>
              </w:divBdr>
              <w:divsChild>
                <w:div w:id="151009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945764">
      <w:bodyDiv w:val="1"/>
      <w:marLeft w:val="0"/>
      <w:marRight w:val="0"/>
      <w:marTop w:val="0"/>
      <w:marBottom w:val="0"/>
      <w:divBdr>
        <w:top w:val="none" w:sz="0" w:space="0" w:color="auto"/>
        <w:left w:val="none" w:sz="0" w:space="0" w:color="auto"/>
        <w:bottom w:val="none" w:sz="0" w:space="0" w:color="auto"/>
        <w:right w:val="none" w:sz="0" w:space="0" w:color="auto"/>
      </w:divBdr>
      <w:divsChild>
        <w:div w:id="1696728460">
          <w:marLeft w:val="0"/>
          <w:marRight w:val="0"/>
          <w:marTop w:val="0"/>
          <w:marBottom w:val="0"/>
          <w:divBdr>
            <w:top w:val="none" w:sz="0" w:space="0" w:color="auto"/>
            <w:left w:val="none" w:sz="0" w:space="0" w:color="auto"/>
            <w:bottom w:val="none" w:sz="0" w:space="0" w:color="auto"/>
            <w:right w:val="none" w:sz="0" w:space="0" w:color="auto"/>
          </w:divBdr>
          <w:divsChild>
            <w:div w:id="155652273">
              <w:marLeft w:val="0"/>
              <w:marRight w:val="0"/>
              <w:marTop w:val="0"/>
              <w:marBottom w:val="0"/>
              <w:divBdr>
                <w:top w:val="none" w:sz="0" w:space="0" w:color="auto"/>
                <w:left w:val="none" w:sz="0" w:space="0" w:color="auto"/>
                <w:bottom w:val="none" w:sz="0" w:space="0" w:color="auto"/>
                <w:right w:val="none" w:sz="0" w:space="0" w:color="auto"/>
              </w:divBdr>
              <w:divsChild>
                <w:div w:id="12590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35975218">
      <w:bodyDiv w:val="1"/>
      <w:marLeft w:val="0"/>
      <w:marRight w:val="0"/>
      <w:marTop w:val="0"/>
      <w:marBottom w:val="0"/>
      <w:divBdr>
        <w:top w:val="none" w:sz="0" w:space="0" w:color="auto"/>
        <w:left w:val="none" w:sz="0" w:space="0" w:color="auto"/>
        <w:bottom w:val="none" w:sz="0" w:space="0" w:color="auto"/>
        <w:right w:val="none" w:sz="0" w:space="0" w:color="auto"/>
      </w:divBdr>
      <w:divsChild>
        <w:div w:id="1507280933">
          <w:marLeft w:val="0"/>
          <w:marRight w:val="0"/>
          <w:marTop w:val="0"/>
          <w:marBottom w:val="0"/>
          <w:divBdr>
            <w:top w:val="none" w:sz="0" w:space="0" w:color="auto"/>
            <w:left w:val="none" w:sz="0" w:space="0" w:color="auto"/>
            <w:bottom w:val="none" w:sz="0" w:space="0" w:color="auto"/>
            <w:right w:val="none" w:sz="0" w:space="0" w:color="auto"/>
          </w:divBdr>
          <w:divsChild>
            <w:div w:id="1134640755">
              <w:marLeft w:val="0"/>
              <w:marRight w:val="0"/>
              <w:marTop w:val="0"/>
              <w:marBottom w:val="0"/>
              <w:divBdr>
                <w:top w:val="none" w:sz="0" w:space="0" w:color="auto"/>
                <w:left w:val="none" w:sz="0" w:space="0" w:color="auto"/>
                <w:bottom w:val="none" w:sz="0" w:space="0" w:color="auto"/>
                <w:right w:val="none" w:sz="0" w:space="0" w:color="auto"/>
              </w:divBdr>
              <w:divsChild>
                <w:div w:id="18128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836360">
      <w:bodyDiv w:val="1"/>
      <w:marLeft w:val="0"/>
      <w:marRight w:val="0"/>
      <w:marTop w:val="0"/>
      <w:marBottom w:val="0"/>
      <w:divBdr>
        <w:top w:val="none" w:sz="0" w:space="0" w:color="auto"/>
        <w:left w:val="none" w:sz="0" w:space="0" w:color="auto"/>
        <w:bottom w:val="none" w:sz="0" w:space="0" w:color="auto"/>
        <w:right w:val="none" w:sz="0" w:space="0" w:color="auto"/>
      </w:divBdr>
    </w:div>
    <w:div w:id="1638338583">
      <w:bodyDiv w:val="1"/>
      <w:marLeft w:val="0"/>
      <w:marRight w:val="0"/>
      <w:marTop w:val="0"/>
      <w:marBottom w:val="0"/>
      <w:divBdr>
        <w:top w:val="none" w:sz="0" w:space="0" w:color="auto"/>
        <w:left w:val="none" w:sz="0" w:space="0" w:color="auto"/>
        <w:bottom w:val="none" w:sz="0" w:space="0" w:color="auto"/>
        <w:right w:val="none" w:sz="0" w:space="0" w:color="auto"/>
      </w:divBdr>
      <w:divsChild>
        <w:div w:id="655500266">
          <w:marLeft w:val="0"/>
          <w:marRight w:val="0"/>
          <w:marTop w:val="0"/>
          <w:marBottom w:val="0"/>
          <w:divBdr>
            <w:top w:val="none" w:sz="0" w:space="0" w:color="auto"/>
            <w:left w:val="none" w:sz="0" w:space="0" w:color="auto"/>
            <w:bottom w:val="none" w:sz="0" w:space="0" w:color="auto"/>
            <w:right w:val="none" w:sz="0" w:space="0" w:color="auto"/>
          </w:divBdr>
          <w:divsChild>
            <w:div w:id="911426022">
              <w:marLeft w:val="0"/>
              <w:marRight w:val="0"/>
              <w:marTop w:val="0"/>
              <w:marBottom w:val="0"/>
              <w:divBdr>
                <w:top w:val="none" w:sz="0" w:space="0" w:color="auto"/>
                <w:left w:val="none" w:sz="0" w:space="0" w:color="auto"/>
                <w:bottom w:val="none" w:sz="0" w:space="0" w:color="auto"/>
                <w:right w:val="none" w:sz="0" w:space="0" w:color="auto"/>
              </w:divBdr>
              <w:divsChild>
                <w:div w:id="20475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6912569">
      <w:bodyDiv w:val="1"/>
      <w:marLeft w:val="0"/>
      <w:marRight w:val="0"/>
      <w:marTop w:val="0"/>
      <w:marBottom w:val="0"/>
      <w:divBdr>
        <w:top w:val="none" w:sz="0" w:space="0" w:color="auto"/>
        <w:left w:val="none" w:sz="0" w:space="0" w:color="auto"/>
        <w:bottom w:val="none" w:sz="0" w:space="0" w:color="auto"/>
        <w:right w:val="none" w:sz="0" w:space="0" w:color="auto"/>
      </w:divBdr>
      <w:divsChild>
        <w:div w:id="1226143398">
          <w:marLeft w:val="0"/>
          <w:marRight w:val="0"/>
          <w:marTop w:val="0"/>
          <w:marBottom w:val="0"/>
          <w:divBdr>
            <w:top w:val="none" w:sz="0" w:space="0" w:color="auto"/>
            <w:left w:val="none" w:sz="0" w:space="0" w:color="auto"/>
            <w:bottom w:val="none" w:sz="0" w:space="0" w:color="auto"/>
            <w:right w:val="none" w:sz="0" w:space="0" w:color="auto"/>
          </w:divBdr>
          <w:divsChild>
            <w:div w:id="172260863">
              <w:marLeft w:val="0"/>
              <w:marRight w:val="0"/>
              <w:marTop w:val="0"/>
              <w:marBottom w:val="0"/>
              <w:divBdr>
                <w:top w:val="none" w:sz="0" w:space="0" w:color="auto"/>
                <w:left w:val="none" w:sz="0" w:space="0" w:color="auto"/>
                <w:bottom w:val="none" w:sz="0" w:space="0" w:color="auto"/>
                <w:right w:val="none" w:sz="0" w:space="0" w:color="auto"/>
              </w:divBdr>
              <w:divsChild>
                <w:div w:id="16485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 w:id="2128042379">
      <w:bodyDiv w:val="1"/>
      <w:marLeft w:val="0"/>
      <w:marRight w:val="0"/>
      <w:marTop w:val="0"/>
      <w:marBottom w:val="0"/>
      <w:divBdr>
        <w:top w:val="none" w:sz="0" w:space="0" w:color="auto"/>
        <w:left w:val="none" w:sz="0" w:space="0" w:color="auto"/>
        <w:bottom w:val="none" w:sz="0" w:space="0" w:color="auto"/>
        <w:right w:val="none" w:sz="0" w:space="0" w:color="auto"/>
      </w:divBdr>
      <w:divsChild>
        <w:div w:id="1415933903">
          <w:marLeft w:val="0"/>
          <w:marRight w:val="0"/>
          <w:marTop w:val="0"/>
          <w:marBottom w:val="0"/>
          <w:divBdr>
            <w:top w:val="none" w:sz="0" w:space="0" w:color="auto"/>
            <w:left w:val="none" w:sz="0" w:space="0" w:color="auto"/>
            <w:bottom w:val="none" w:sz="0" w:space="0" w:color="auto"/>
            <w:right w:val="none" w:sz="0" w:space="0" w:color="auto"/>
          </w:divBdr>
          <w:divsChild>
            <w:div w:id="1355106521">
              <w:marLeft w:val="0"/>
              <w:marRight w:val="0"/>
              <w:marTop w:val="0"/>
              <w:marBottom w:val="0"/>
              <w:divBdr>
                <w:top w:val="none" w:sz="0" w:space="0" w:color="auto"/>
                <w:left w:val="none" w:sz="0" w:space="0" w:color="auto"/>
                <w:bottom w:val="none" w:sz="0" w:space="0" w:color="auto"/>
                <w:right w:val="none" w:sz="0" w:space="0" w:color="auto"/>
              </w:divBdr>
              <w:divsChild>
                <w:div w:id="9741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ccess-ods.un.org/access.nsf/Get?Open&amp;DS=CRPD/C/FRA/CO/1&amp;Lang=E" TargetMode="External"/><Relationship Id="rId13" Type="http://schemas.openxmlformats.org/officeDocument/2006/relationships/hyperlink" Target="https://spcommreports.ohchr.org/Tmsearch/TMDocuments" TargetMode="External"/><Relationship Id="rId18" Type="http://schemas.openxmlformats.org/officeDocument/2006/relationships/hyperlink" Target="https://spcommreports.ohchr.org/Tmsearch/TMDocuments"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pcommreports.ohchr.org/TMResultsBase/DownLoadPublicCommunicationFile?gId=22991" TargetMode="External"/><Relationship Id="rId17" Type="http://schemas.openxmlformats.org/officeDocument/2006/relationships/hyperlink" Target="https://spcommreports.ohchr.org/TMResultsBase/DownLoadPublicCommunicationFile?gId=26047"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tbinternet.ohchr.org/Treaties/CED/Shared%20Documents/FRA/INT_CED_COC_FRA_46844_F.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commreports.ohchr.org/TMResultsBase/DownLoadPublicCommunicationFile?gId=26792" TargetMode="External"/><Relationship Id="rId5" Type="http://schemas.openxmlformats.org/officeDocument/2006/relationships/webSettings" Target="webSettings.xml"/><Relationship Id="rId15" Type="http://schemas.openxmlformats.org/officeDocument/2006/relationships/hyperlink" Target="https://tbinternet.ohchr.org/Treaties/CED/Shared%20Documents/FRA/INT_CED_COC_FRA_46844_F.DOCX" TargetMode="External"/><Relationship Id="rId10" Type="http://schemas.openxmlformats.org/officeDocument/2006/relationships/hyperlink" Target="https://tbinternet.ohchr.org/_layouts/15/treatybodyexternal/Download.aspx?symbolno=CRPD%2FC%2FFRA%2F1&amp;Lang=en" TargetMode="External"/><Relationship Id="rId19" Type="http://schemas.openxmlformats.org/officeDocument/2006/relationships/hyperlink" Target="https://spcommreports.ohchr.org/Tmsearch/TMDocuments" TargetMode="External"/><Relationship Id="rId4" Type="http://schemas.openxmlformats.org/officeDocument/2006/relationships/settings" Target="settings.xml"/><Relationship Id="rId9" Type="http://schemas.openxmlformats.org/officeDocument/2006/relationships/hyperlink" Target="https://undocs.org/A/HRC/47/35" TargetMode="External"/><Relationship Id="rId14" Type="http://schemas.openxmlformats.org/officeDocument/2006/relationships/hyperlink" Target="https://tbinternet.ohchr.org/Treaties/CED/Shared%20Documents/FRA/INT_CED_COC_FRA_46844_F.DOCX"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91A24-F927-477B-A112-48B34669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5</cp:revision>
  <dcterms:created xsi:type="dcterms:W3CDTF">2022-02-03T17:53:00Z</dcterms:created>
  <dcterms:modified xsi:type="dcterms:W3CDTF">2022-02-06T15:30:00Z</dcterms:modified>
</cp:coreProperties>
</file>